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rPr>
      </w:pPr>
      <w:r>
        <w:rPr>
          <w:rFonts w:hint="eastAsia" w:ascii="彩虹小标宋" w:eastAsia="彩虹小标宋"/>
          <w:sz w:val="44"/>
          <w:szCs w:val="44"/>
        </w:rPr>
        <w:t>关于建信理财龙鑫（多元增强）固收类最低持有360天产品第1期限制单日申购总份额的公告</w:t>
      </w:r>
    </w:p>
    <w:p>
      <w:pPr>
        <w:rPr>
          <w:rFonts w:hint="eastAsia" w:ascii="彩虹小标宋" w:eastAsia="彩虹小标宋"/>
          <w:sz w:val="44"/>
          <w:szCs w:val="44"/>
        </w:rPr>
      </w:pPr>
    </w:p>
    <w:p>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为维护产品平稳运作，建信理财有限责任公司调整以下产品交易限额：</w:t>
      </w:r>
    </w:p>
    <w:tbl>
      <w:tblPr>
        <w:tblStyle w:val="4"/>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088"/>
        <w:gridCol w:w="2164"/>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产品名称</w:t>
            </w:r>
          </w:p>
        </w:tc>
        <w:tc>
          <w:tcPr>
            <w:tcW w:w="1219" w:type="pct"/>
            <w:vAlign w:val="center"/>
          </w:tcPr>
          <w:p>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全国银行业理财信息登记系统编号</w:t>
            </w:r>
          </w:p>
        </w:tc>
        <w:tc>
          <w:tcPr>
            <w:tcW w:w="1263" w:type="pct"/>
            <w:vAlign w:val="center"/>
          </w:tcPr>
          <w:p>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单日申购总份额限制</w:t>
            </w:r>
          </w:p>
        </w:tc>
        <w:tc>
          <w:tcPr>
            <w:tcW w:w="1175" w:type="pct"/>
            <w:vAlign w:val="center"/>
          </w:tcPr>
          <w:p>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调整生效日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szCs w:val="21"/>
                <w:highlight w:val="none"/>
                <w:lang w:val="en-US" w:eastAsia="zh-CN"/>
              </w:rPr>
              <w:t>建信理财龙鑫（多元增强）固收类最低持有360天产品第1期</w:t>
            </w:r>
          </w:p>
        </w:tc>
        <w:tc>
          <w:tcPr>
            <w:tcW w:w="1219" w:type="pct"/>
            <w:vAlign w:val="center"/>
          </w:tcPr>
          <w:p>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Z7000725001597</w:t>
            </w:r>
          </w:p>
        </w:tc>
        <w:tc>
          <w:tcPr>
            <w:tcW w:w="1263" w:type="pct"/>
            <w:vAlign w:val="center"/>
          </w:tcPr>
          <w:p>
            <w:pPr>
              <w:autoSpaceDE w:val="0"/>
              <w:autoSpaceDN w:val="0"/>
              <w:adjustRightInd w:val="0"/>
              <w:jc w:val="center"/>
              <w:rPr>
                <w:rFonts w:hint="eastAsia" w:ascii="彩虹粗仿宋" w:eastAsia="彩虹粗仿宋" w:hAnsiTheme="minorHAnsi" w:cstheme="minorBidi"/>
                <w:kern w:val="2"/>
                <w:sz w:val="21"/>
                <w:szCs w:val="21"/>
                <w:lang w:val="en-US" w:eastAsia="zh-CN"/>
              </w:rPr>
            </w:pPr>
            <w:r>
              <w:rPr>
                <w:rFonts w:hint="eastAsia" w:ascii="彩虹粗仿宋" w:hAnsi="彩虹粗仿宋" w:eastAsia="彩虹粗仿宋" w:cs="彩虹粗仿宋"/>
                <w:sz w:val="21"/>
                <w:szCs w:val="21"/>
              </w:rPr>
              <w:t>不超过</w:t>
            </w:r>
            <w:r>
              <w:rPr>
                <w:rFonts w:hint="eastAsia" w:ascii="彩虹粗仿宋" w:hAnsi="彩虹粗仿宋" w:eastAsia="彩虹粗仿宋" w:cs="彩虹粗仿宋"/>
                <w:sz w:val="21"/>
                <w:szCs w:val="21"/>
                <w:lang w:val="en-US" w:eastAsia="zh-CN"/>
              </w:rPr>
              <w:t>100万</w:t>
            </w:r>
            <w:r>
              <w:rPr>
                <w:rFonts w:hint="eastAsia" w:ascii="彩虹粗仿宋" w:hAnsi="彩虹粗仿宋" w:eastAsia="彩虹粗仿宋" w:cs="彩虹粗仿宋"/>
                <w:sz w:val="21"/>
                <w:szCs w:val="21"/>
              </w:rPr>
              <w:t>份</w:t>
            </w:r>
          </w:p>
        </w:tc>
        <w:tc>
          <w:tcPr>
            <w:tcW w:w="1175" w:type="pct"/>
            <w:vAlign w:val="center"/>
          </w:tcPr>
          <w:p>
            <w:pPr>
              <w:pStyle w:val="2"/>
              <w:snapToGrid w:val="0"/>
              <w:spacing w:line="460" w:lineRule="atLeast"/>
              <w:jc w:val="center"/>
              <w:rPr>
                <w:rFonts w:ascii="彩虹粗仿宋" w:eastAsia="彩虹粗仿宋" w:hAnsiTheme="minorHAnsi" w:cstheme="minorBidi"/>
                <w:kern w:val="2"/>
                <w:sz w:val="21"/>
                <w:szCs w:val="21"/>
              </w:rPr>
            </w:pPr>
            <w:r>
              <w:rPr>
                <w:rFonts w:hint="eastAsia" w:ascii="彩虹粗仿宋" w:hAnsi="彩虹粗仿宋" w:eastAsia="彩虹粗仿宋" w:cs="彩虹粗仿宋"/>
                <w:sz w:val="21"/>
                <w:szCs w:val="21"/>
              </w:rPr>
              <w:t>202</w:t>
            </w:r>
            <w:r>
              <w:rPr>
                <w:rFonts w:hint="eastAsia" w:ascii="彩虹粗仿宋" w:hAnsi="彩虹粗仿宋" w:eastAsia="彩虹粗仿宋" w:cs="彩虹粗仿宋"/>
                <w:sz w:val="21"/>
                <w:szCs w:val="21"/>
                <w:lang w:val="en-US" w:eastAsia="zh-CN"/>
              </w:rPr>
              <w:t>6</w:t>
            </w:r>
            <w:r>
              <w:rPr>
                <w:rFonts w:hint="eastAsia" w:ascii="彩虹粗仿宋" w:hAnsi="彩虹粗仿宋" w:eastAsia="彩虹粗仿宋" w:cs="彩虹粗仿宋"/>
                <w:sz w:val="21"/>
                <w:szCs w:val="21"/>
              </w:rPr>
              <w:t>年</w:t>
            </w:r>
            <w:r>
              <w:rPr>
                <w:rFonts w:hint="eastAsia" w:ascii="彩虹粗仿宋" w:hAnsi="彩虹粗仿宋" w:eastAsia="彩虹粗仿宋" w:cs="彩虹粗仿宋"/>
                <w:sz w:val="21"/>
                <w:szCs w:val="21"/>
                <w:lang w:val="en-US" w:eastAsia="zh-CN"/>
              </w:rPr>
              <w:t>5</w:t>
            </w:r>
            <w:r>
              <w:rPr>
                <w:rFonts w:hint="eastAsia" w:ascii="彩虹粗仿宋" w:hAnsi="彩虹粗仿宋" w:eastAsia="彩虹粗仿宋" w:cs="彩虹粗仿宋"/>
                <w:sz w:val="21"/>
                <w:szCs w:val="21"/>
              </w:rPr>
              <w:t>月</w:t>
            </w:r>
            <w:r>
              <w:rPr>
                <w:rFonts w:hint="eastAsia" w:ascii="彩虹粗仿宋" w:hAnsi="彩虹粗仿宋" w:eastAsia="彩虹粗仿宋" w:cs="彩虹粗仿宋"/>
                <w:sz w:val="21"/>
                <w:szCs w:val="21"/>
                <w:lang w:val="en-US" w:eastAsia="zh-CN"/>
              </w:rPr>
              <w:t>27</w:t>
            </w:r>
            <w:r>
              <w:rPr>
                <w:rFonts w:hint="eastAsia" w:ascii="彩虹粗仿宋" w:hAnsi="彩虹粗仿宋" w:eastAsia="彩虹粗仿宋" w:cs="彩虹粗仿宋"/>
                <w:sz w:val="21"/>
                <w:szCs w:val="21"/>
              </w:rPr>
              <w:t>日</w:t>
            </w:r>
          </w:p>
        </w:tc>
      </w:tr>
    </w:tbl>
    <w:p>
      <w:pPr>
        <w:pStyle w:val="2"/>
        <w:spacing w:before="0" w:beforeAutospacing="0" w:after="0" w:afterAutospacing="0" w:line="360" w:lineRule="auto"/>
        <w:ind w:firstLine="42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建信理财有限责任公司将本着勤勉尽职的原则持续为您提供专业化理财服务。</w:t>
      </w:r>
    </w:p>
    <w:p>
      <w:pPr>
        <w:ind w:firstLine="646" w:firstLineChars="202"/>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pPr>
        <w:ind w:firstLine="646" w:firstLineChars="202"/>
        <w:rPr>
          <w:rFonts w:ascii="彩虹粗仿宋" w:hAnsi="微软雅黑" w:eastAsia="彩虹粗仿宋" w:cs="宋体"/>
          <w:color w:val="333333"/>
          <w:kern w:val="0"/>
          <w:sz w:val="32"/>
          <w:szCs w:val="32"/>
        </w:rPr>
      </w:pPr>
    </w:p>
    <w:p>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lang w:val="en-US" w:eastAsia="zh-CN"/>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27</w:t>
      </w:r>
      <w:bookmarkStart w:id="0" w:name="_GoBack"/>
      <w:bookmarkEnd w:id="0"/>
      <w:r>
        <w:rPr>
          <w:rFonts w:ascii="彩虹粗仿宋" w:hAnsi="微软雅黑" w:eastAsia="彩虹粗仿宋" w:cs="宋体"/>
          <w:color w:val="333333"/>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360DD"/>
    <w:rsid w:val="0F214A20"/>
    <w:rsid w:val="142D0FD0"/>
    <w:rsid w:val="193058E6"/>
    <w:rsid w:val="34B232D3"/>
    <w:rsid w:val="36C16ACA"/>
    <w:rsid w:val="414B67C3"/>
    <w:rsid w:val="41EE4ADF"/>
    <w:rsid w:val="5479430F"/>
    <w:rsid w:val="71915F81"/>
    <w:rsid w:val="72576342"/>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2026-05-12T01:44:00Z</dcterms:created>
  <dc:creator>jxlc</dc:creator>
  <cp:lastModifiedBy>产品管理与创新部</cp:lastModifiedBy>
  <dcterms:modified xsi:type="dcterms:W3CDTF">2026-05-27T07:07:18Z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909D355D215C44C48CE560430FBF99AA_12</vt:lpwstr>
  </property>
</Properties>
</file>