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34982"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</w:t>
      </w:r>
      <w:r>
        <w:rPr>
          <w:rFonts w:hint="eastAsia" w:cs="Arial"/>
          <w:b/>
          <w:color w:val="000000"/>
          <w:kern w:val="0"/>
          <w:szCs w:val="21"/>
          <w:highlight w:val="none"/>
          <w:lang w:eastAsia="zh-CN"/>
        </w:rPr>
        <w:t>建信理财机构专享嘉鑫固收类封闭式产品2026年第155期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费率优惠的公告</w:t>
      </w:r>
    </w:p>
    <w:p w14:paraId="28326402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1E365DC5">
      <w:pPr>
        <w:pStyle w:val="8"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highlight w:val="none"/>
          <w:lang w:eastAsia="zh-CN"/>
        </w:rPr>
        <w:t>建信理财机构专享嘉鑫固收类封闭式产品2026年第155期</w:t>
      </w:r>
      <w:r>
        <w:rPr>
          <w:rFonts w:hint="eastAsia" w:cs="Arial"/>
          <w:color w:val="000000"/>
          <w:sz w:val="21"/>
          <w:szCs w:val="21"/>
          <w:highlight w:val="none"/>
        </w:rPr>
        <w:t>进行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销售费率和管理</w:t>
      </w:r>
      <w:r>
        <w:rPr>
          <w:rFonts w:hint="eastAsia" w:cs="Arial"/>
          <w:color w:val="000000"/>
          <w:sz w:val="21"/>
          <w:szCs w:val="21"/>
          <w:highlight w:val="none"/>
        </w:rPr>
        <w:t>费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率</w:t>
      </w:r>
      <w:r>
        <w:rPr>
          <w:rFonts w:hint="eastAsia" w:cs="Arial"/>
          <w:color w:val="000000"/>
          <w:sz w:val="21"/>
          <w:szCs w:val="21"/>
          <w:highlight w:val="none"/>
        </w:rPr>
        <w:t>优惠，具体内容如下：</w:t>
      </w:r>
    </w:p>
    <w:p w14:paraId="0323F26F">
      <w:pPr>
        <w:pStyle w:val="8"/>
        <w:numPr>
          <w:ilvl w:val="0"/>
          <w:numId w:val="1"/>
        </w:numPr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销售费率</w:t>
      </w:r>
    </w:p>
    <w:tbl>
      <w:tblPr>
        <w:tblStyle w:val="10"/>
        <w:tblW w:w="13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2"/>
        <w:gridCol w:w="2124"/>
        <w:gridCol w:w="1858"/>
        <w:gridCol w:w="1812"/>
        <w:gridCol w:w="1266"/>
        <w:gridCol w:w="1266"/>
      </w:tblGrid>
      <w:tr w14:paraId="6B384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tblHeader/>
          <w:jc w:val="center"/>
        </w:trPr>
        <w:tc>
          <w:tcPr>
            <w:tcW w:w="5252" w:type="dxa"/>
            <w:shd w:val="clear" w:color="auto" w:fill="auto"/>
            <w:vAlign w:val="center"/>
          </w:tcPr>
          <w:p w14:paraId="252D6E2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7C9E87A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5B5AEC1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9D4438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266" w:type="dxa"/>
            <w:vAlign w:val="center"/>
          </w:tcPr>
          <w:p w14:paraId="1A92A76F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优惠前</w:t>
            </w:r>
          </w:p>
        </w:tc>
        <w:tc>
          <w:tcPr>
            <w:tcW w:w="1266" w:type="dxa"/>
            <w:vAlign w:val="center"/>
          </w:tcPr>
          <w:p w14:paraId="1206C90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439BF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252" w:type="dxa"/>
            <w:shd w:val="clear" w:color="auto" w:fill="auto"/>
            <w:vAlign w:val="center"/>
          </w:tcPr>
          <w:p w14:paraId="4F1AA2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  <w:lang w:eastAsia="zh-CN"/>
              </w:rPr>
              <w:t>建信理财机构专享嘉鑫固收类封闭式产品2026年第155期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723E268E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Z7000726000441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5D54F2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2EEDE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266" w:type="dxa"/>
            <w:vAlign w:val="center"/>
          </w:tcPr>
          <w:p w14:paraId="4DFB678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0.10%/年</w:t>
            </w:r>
          </w:p>
        </w:tc>
        <w:tc>
          <w:tcPr>
            <w:tcW w:w="1266" w:type="dxa"/>
            <w:vAlign w:val="center"/>
          </w:tcPr>
          <w:p w14:paraId="241D18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26EF4E1A">
      <w:pPr>
        <w:pStyle w:val="8"/>
        <w:numPr>
          <w:ilvl w:val="0"/>
          <w:numId w:val="0"/>
        </w:numPr>
        <w:snapToGrid w:val="0"/>
        <w:spacing w:line="460" w:lineRule="atLeast"/>
        <w:ind w:firstLine="210" w:firstLineChars="100"/>
        <w:rPr>
          <w:rFonts w:hint="default" w:cs="Arial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二、管理费率</w:t>
      </w:r>
    </w:p>
    <w:tbl>
      <w:tblPr>
        <w:tblStyle w:val="10"/>
        <w:tblW w:w="13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4"/>
        <w:gridCol w:w="2040"/>
        <w:gridCol w:w="1715"/>
        <w:gridCol w:w="2070"/>
        <w:gridCol w:w="1196"/>
        <w:gridCol w:w="1196"/>
      </w:tblGrid>
      <w:tr w14:paraId="68DF8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tblHeader/>
          <w:jc w:val="center"/>
        </w:trPr>
        <w:tc>
          <w:tcPr>
            <w:tcW w:w="5324" w:type="dxa"/>
            <w:shd w:val="clear" w:color="auto" w:fill="auto"/>
            <w:vAlign w:val="center"/>
          </w:tcPr>
          <w:p w14:paraId="180B160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691F96C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79D2E17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0C8AD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196" w:type="dxa"/>
            <w:vAlign w:val="center"/>
          </w:tcPr>
          <w:p w14:paraId="460239F0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优惠前</w:t>
            </w:r>
          </w:p>
        </w:tc>
        <w:tc>
          <w:tcPr>
            <w:tcW w:w="1196" w:type="dxa"/>
            <w:vAlign w:val="center"/>
          </w:tcPr>
          <w:p w14:paraId="06DE6D7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40B42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324" w:type="dxa"/>
            <w:shd w:val="clear" w:color="auto" w:fill="auto"/>
            <w:vAlign w:val="center"/>
          </w:tcPr>
          <w:p w14:paraId="360BF4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  <w:lang w:eastAsia="zh-CN"/>
              </w:rPr>
              <w:t>建信理财机构专享嘉鑫固收类封闭式产品2026年第155期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462AB38F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Z7000726000441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4A22B5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CF7A8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96" w:type="dxa"/>
            <w:vAlign w:val="center"/>
          </w:tcPr>
          <w:p w14:paraId="3AB3CC8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0.10%/年</w:t>
            </w:r>
          </w:p>
        </w:tc>
        <w:tc>
          <w:tcPr>
            <w:tcW w:w="1196" w:type="dxa"/>
            <w:vAlign w:val="center"/>
          </w:tcPr>
          <w:p w14:paraId="0ED7E0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55CFBFD5">
      <w:pPr>
        <w:pStyle w:val="8"/>
        <w:snapToGrid w:val="0"/>
        <w:spacing w:line="460" w:lineRule="atLeast"/>
        <w:ind w:firstLine="420" w:firstLineChars="200"/>
        <w:rPr>
          <w:rFonts w:hint="eastAsia"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销售费率和</w:t>
      </w:r>
      <w:bookmarkStart w:id="0" w:name="_GoBack"/>
      <w:bookmarkEnd w:id="0"/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管理</w:t>
      </w:r>
      <w:r>
        <w:rPr>
          <w:rFonts w:hint="eastAsia" w:cs="Arial"/>
          <w:color w:val="000000"/>
          <w:sz w:val="21"/>
          <w:szCs w:val="21"/>
          <w:highlight w:val="none"/>
        </w:rPr>
        <w:t>费率恢复至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本次优惠前的</w:t>
      </w:r>
      <w:r>
        <w:rPr>
          <w:rFonts w:hint="eastAsia" w:cs="Arial"/>
          <w:color w:val="000000"/>
          <w:sz w:val="21"/>
          <w:szCs w:val="21"/>
          <w:highlight w:val="none"/>
        </w:rPr>
        <w:t>费率水平。</w:t>
      </w:r>
    </w:p>
    <w:p w14:paraId="0F1F3908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696A7196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1CA81770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11DE780C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9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7A0223"/>
    <w:multiLevelType w:val="singleLevel"/>
    <w:tmpl w:val="877A02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19B6562"/>
    <w:rsid w:val="02DC3C1A"/>
    <w:rsid w:val="05E30BD4"/>
    <w:rsid w:val="094D1227"/>
    <w:rsid w:val="0C1748D8"/>
    <w:rsid w:val="0DCD3739"/>
    <w:rsid w:val="0F9B19E8"/>
    <w:rsid w:val="1168071F"/>
    <w:rsid w:val="12FD02F8"/>
    <w:rsid w:val="157574B5"/>
    <w:rsid w:val="178570A5"/>
    <w:rsid w:val="18180979"/>
    <w:rsid w:val="18481362"/>
    <w:rsid w:val="18A60FBA"/>
    <w:rsid w:val="1ADD75B6"/>
    <w:rsid w:val="1E1A4548"/>
    <w:rsid w:val="1EE73068"/>
    <w:rsid w:val="2338132F"/>
    <w:rsid w:val="273E4AD6"/>
    <w:rsid w:val="2B7A08B3"/>
    <w:rsid w:val="2C301A33"/>
    <w:rsid w:val="2D891BE3"/>
    <w:rsid w:val="309E44F4"/>
    <w:rsid w:val="362941F8"/>
    <w:rsid w:val="3F783A90"/>
    <w:rsid w:val="41BD54DE"/>
    <w:rsid w:val="42EC00D8"/>
    <w:rsid w:val="49C86F0F"/>
    <w:rsid w:val="4B475C70"/>
    <w:rsid w:val="4C0561E6"/>
    <w:rsid w:val="4E7C24EF"/>
    <w:rsid w:val="55BE697C"/>
    <w:rsid w:val="5E612DA7"/>
    <w:rsid w:val="63874CE8"/>
    <w:rsid w:val="64F75096"/>
    <w:rsid w:val="65A7048F"/>
    <w:rsid w:val="67BF5D14"/>
    <w:rsid w:val="682A20B9"/>
    <w:rsid w:val="695834E1"/>
    <w:rsid w:val="69705011"/>
    <w:rsid w:val="6EE23B96"/>
    <w:rsid w:val="77553199"/>
    <w:rsid w:val="7D570176"/>
    <w:rsid w:val="7F21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82</Words>
  <Characters>474</Characters>
  <Lines>3</Lines>
  <Paragraphs>1</Paragraphs>
  <TotalTime>5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2026-06-05T05:55:14Z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BBBC58F6DD5244ACBE7A32E13B9B5510_13</vt:lpwstr>
  </property>
</Properties>
</file>