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D1367">
      <w:pPr>
        <w:widowControl/>
        <w:spacing w:before="100" w:beforeAutospacing="1" w:after="100" w:afterAutospacing="1" w:line="460" w:lineRule="atLeast"/>
        <w:jc w:val="center"/>
        <w:rPr>
          <w:rFonts w:hint="eastAsia" w:ascii="宋体" w:hAnsi="宋体" w:eastAsia="宋体" w:cs="Arial"/>
          <w:b/>
          <w:color w:val="000000"/>
          <w:kern w:val="0"/>
          <w:szCs w:val="21"/>
          <w:lang w:val="en-US" w:eastAsia="zh-CN"/>
        </w:rPr>
      </w:pPr>
      <w:bookmarkStart w:id="0" w:name="_GoBack"/>
      <w:r>
        <w:rPr>
          <w:rFonts w:hint="eastAsia" w:ascii="宋体" w:hAnsi="宋体" w:eastAsia="宋体" w:cs="Arial"/>
          <w:b/>
          <w:color w:val="000000"/>
          <w:kern w:val="0"/>
          <w:szCs w:val="21"/>
        </w:rPr>
        <w:t>关于</w:t>
      </w:r>
      <w:r>
        <w:rPr>
          <w:rFonts w:hint="eastAsia" w:ascii="宋体" w:hAnsi="宋体" w:eastAsia="宋体" w:cs="Arial"/>
          <w:b/>
          <w:color w:val="000000"/>
          <w:kern w:val="0"/>
          <w:szCs w:val="21"/>
          <w:lang w:val="en-US" w:eastAsia="zh-CN"/>
        </w:rPr>
        <w:t>建信理财嘉鑫（稳利）固收类封闭式产品2026年第519期管理费率优惠</w:t>
      </w:r>
      <w:r>
        <w:rPr>
          <w:rFonts w:hint="eastAsia" w:ascii="宋体" w:hAnsi="宋体" w:eastAsia="宋体" w:cs="Arial"/>
          <w:b/>
          <w:color w:val="000000"/>
          <w:kern w:val="0"/>
          <w:szCs w:val="21"/>
        </w:rPr>
        <w:t>的公告</w:t>
      </w:r>
    </w:p>
    <w:bookmarkEnd w:id="0"/>
    <w:p w14:paraId="04D52AA8">
      <w:pPr>
        <w:pStyle w:val="2"/>
        <w:keepNext w:val="0"/>
        <w:keepLines w:val="0"/>
        <w:pageBreakBefore w:val="0"/>
        <w:kinsoku/>
        <w:wordWrap/>
        <w:overflowPunct/>
        <w:topLinePunct w:val="0"/>
        <w:autoSpaceDE/>
        <w:autoSpaceDN/>
        <w:bidi w:val="0"/>
        <w:adjustRightInd/>
        <w:snapToGrid w:val="0"/>
        <w:spacing w:line="460" w:lineRule="atLeast"/>
        <w:rPr>
          <w:rFonts w:ascii="微软雅黑" w:hAnsi="微软雅黑" w:eastAsia="微软雅黑" w:cs="Arial"/>
          <w:color w:val="666666"/>
          <w:sz w:val="21"/>
          <w:szCs w:val="21"/>
        </w:rPr>
      </w:pPr>
      <w:r>
        <w:rPr>
          <w:rFonts w:hint="eastAsia" w:cs="Arial"/>
          <w:color w:val="000000"/>
          <w:sz w:val="21"/>
          <w:szCs w:val="21"/>
        </w:rPr>
        <w:t>尊敬的投资者：</w:t>
      </w:r>
    </w:p>
    <w:p w14:paraId="4D961771">
      <w:pPr>
        <w:pStyle w:val="2"/>
        <w:keepNext w:val="0"/>
        <w:keepLines w:val="0"/>
        <w:pageBreakBefore w:val="0"/>
        <w:kinsoku/>
        <w:wordWrap/>
        <w:overflowPunct/>
        <w:topLinePunct w:val="0"/>
        <w:autoSpaceDE/>
        <w:autoSpaceDN/>
        <w:bidi w:val="0"/>
        <w:adjustRightInd/>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w:t>
      </w:r>
      <w:r>
        <w:rPr>
          <w:rFonts w:hint="eastAsia" w:cs="Arial"/>
          <w:color w:val="000000"/>
          <w:sz w:val="21"/>
          <w:szCs w:val="21"/>
          <w:lang w:val="en-US" w:eastAsia="zh-CN"/>
        </w:rPr>
        <w:t>对</w:t>
      </w:r>
      <w:r>
        <w:rPr>
          <w:rFonts w:hint="eastAsia" w:cs="Arial"/>
          <w:color w:val="000000"/>
          <w:kern w:val="0"/>
          <w:sz w:val="21"/>
          <w:szCs w:val="21"/>
          <w:lang w:val="en-US" w:eastAsia="zh-CN" w:bidi="ar-SA"/>
        </w:rPr>
        <w:t>建信理财嘉鑫（稳利）固收类封闭式产品2026年第519期</w:t>
      </w:r>
      <w:r>
        <w:rPr>
          <w:rFonts w:hint="eastAsia" w:cs="Arial"/>
          <w:color w:val="000000"/>
          <w:sz w:val="21"/>
          <w:szCs w:val="21"/>
        </w:rPr>
        <w:t>的管理费率</w:t>
      </w:r>
      <w:r>
        <w:rPr>
          <w:rFonts w:hint="eastAsia" w:cs="Arial"/>
          <w:color w:val="000000"/>
          <w:sz w:val="21"/>
          <w:szCs w:val="21"/>
          <w:lang w:val="en-US" w:eastAsia="zh-CN"/>
        </w:rPr>
        <w:t>进行优惠</w:t>
      </w:r>
      <w:r>
        <w:rPr>
          <w:rFonts w:hint="eastAsia" w:cs="Arial"/>
          <w:color w:val="000000"/>
          <w:sz w:val="21"/>
          <w:szCs w:val="21"/>
        </w:rPr>
        <w:t>，具体调整内容如下：</w:t>
      </w:r>
    </w:p>
    <w:tbl>
      <w:tblPr>
        <w:tblStyle w:val="3"/>
        <w:tblW w:w="4319"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460"/>
        <w:gridCol w:w="2121"/>
        <w:gridCol w:w="2023"/>
        <w:gridCol w:w="2076"/>
        <w:gridCol w:w="2049"/>
        <w:gridCol w:w="1516"/>
      </w:tblGrid>
      <w:tr w14:paraId="613782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91" w:hRule="atLeast"/>
          <w:tblHeader/>
          <w:jc w:val="center"/>
        </w:trPr>
        <w:tc>
          <w:tcPr>
            <w:tcW w:w="2460" w:type="dxa"/>
            <w:vMerge w:val="restart"/>
            <w:vAlign w:val="center"/>
          </w:tcPr>
          <w:p w14:paraId="17F1658C">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产品名称</w:t>
            </w:r>
          </w:p>
        </w:tc>
        <w:tc>
          <w:tcPr>
            <w:tcW w:w="2121" w:type="dxa"/>
            <w:vMerge w:val="restart"/>
            <w:vAlign w:val="center"/>
          </w:tcPr>
          <w:p w14:paraId="560934D2">
            <w:pPr>
              <w:keepNext w:val="0"/>
              <w:keepLines w:val="0"/>
              <w:pageBreakBefore w:val="0"/>
              <w:widowControl/>
              <w:kinsoku/>
              <w:wordWrap/>
              <w:overflowPunct/>
              <w:topLinePunct w:val="0"/>
              <w:autoSpaceDE/>
              <w:autoSpaceDN/>
              <w:bidi w:val="0"/>
              <w:adjustRightInd w:val="0"/>
              <w:snapToGrid w:val="0"/>
              <w:spacing w:line="560" w:lineRule="exact"/>
              <w:jc w:val="center"/>
              <w:textAlignment w:val="center"/>
              <w:rPr>
                <w:rFonts w:ascii="宋体" w:hAnsi="宋体" w:eastAsia="宋体" w:cs="宋体"/>
                <w:color w:val="000000"/>
                <w:kern w:val="0"/>
                <w:sz w:val="18"/>
                <w:szCs w:val="18"/>
                <w:lang w:bidi="ar"/>
              </w:rPr>
            </w:pPr>
            <w:r>
              <w:rPr>
                <w:rStyle w:val="5"/>
                <w:rFonts w:hint="eastAsia" w:cs="Arial"/>
                <w:color w:val="000000"/>
                <w:sz w:val="18"/>
                <w:szCs w:val="18"/>
              </w:rPr>
              <w:t>全国银行业理财信息登记系统编号</w:t>
            </w:r>
          </w:p>
        </w:tc>
        <w:tc>
          <w:tcPr>
            <w:tcW w:w="2023" w:type="dxa"/>
            <w:vMerge w:val="restart"/>
            <w:vAlign w:val="center"/>
          </w:tcPr>
          <w:p w14:paraId="0CACA5DB">
            <w:pPr>
              <w:pStyle w:val="2"/>
              <w:keepNext w:val="0"/>
              <w:keepLines w:val="0"/>
              <w:pageBreakBefore w:val="0"/>
              <w:kinsoku/>
              <w:wordWrap/>
              <w:overflowPunct/>
              <w:topLinePunct w:val="0"/>
              <w:autoSpaceDE/>
              <w:autoSpaceDN/>
              <w:bidi w:val="0"/>
              <w:adjustRightInd w:val="0"/>
              <w:snapToGrid w:val="0"/>
              <w:spacing w:line="460" w:lineRule="atLeast"/>
              <w:jc w:val="center"/>
              <w:rPr>
                <w:rFonts w:hint="default" w:ascii="Arial" w:hAnsi="Arial" w:eastAsia="宋体" w:cs="Arial"/>
                <w:color w:val="666666"/>
                <w:sz w:val="18"/>
                <w:szCs w:val="18"/>
                <w:lang w:val="en-US" w:eastAsia="zh-CN"/>
              </w:rPr>
            </w:pPr>
            <w:r>
              <w:rPr>
                <w:rStyle w:val="5"/>
                <w:rFonts w:hint="eastAsia" w:cs="Arial"/>
                <w:color w:val="000000"/>
                <w:sz w:val="18"/>
                <w:szCs w:val="18"/>
                <w:lang w:val="en-US" w:eastAsia="zh-CN"/>
              </w:rPr>
              <w:t>优惠</w:t>
            </w:r>
            <w:r>
              <w:rPr>
                <w:rStyle w:val="5"/>
                <w:rFonts w:hint="eastAsia" w:cs="Arial"/>
                <w:color w:val="000000"/>
                <w:sz w:val="18"/>
                <w:szCs w:val="18"/>
              </w:rPr>
              <w:t>起始日</w:t>
            </w:r>
            <w:r>
              <w:rPr>
                <w:rStyle w:val="5"/>
                <w:rFonts w:hint="eastAsia" w:cs="Arial"/>
                <w:color w:val="000000"/>
                <w:sz w:val="18"/>
                <w:szCs w:val="18"/>
                <w:lang w:eastAsia="zh-CN"/>
              </w:rPr>
              <w:t>（</w:t>
            </w:r>
            <w:r>
              <w:rPr>
                <w:rStyle w:val="5"/>
                <w:rFonts w:hint="eastAsia" w:cs="Arial"/>
                <w:color w:val="000000"/>
                <w:sz w:val="18"/>
                <w:szCs w:val="18"/>
                <w:lang w:val="en-US" w:eastAsia="zh-CN"/>
              </w:rPr>
              <w:t>含）</w:t>
            </w:r>
          </w:p>
        </w:tc>
        <w:tc>
          <w:tcPr>
            <w:tcW w:w="2076" w:type="dxa"/>
            <w:vMerge w:val="restart"/>
            <w:vAlign w:val="center"/>
          </w:tcPr>
          <w:p w14:paraId="71B95EC9">
            <w:pPr>
              <w:pStyle w:val="2"/>
              <w:keepNext w:val="0"/>
              <w:keepLines w:val="0"/>
              <w:pageBreakBefore w:val="0"/>
              <w:kinsoku/>
              <w:wordWrap/>
              <w:overflowPunct/>
              <w:topLinePunct w:val="0"/>
              <w:autoSpaceDE/>
              <w:autoSpaceDN/>
              <w:bidi w:val="0"/>
              <w:adjustRightInd w:val="0"/>
              <w:snapToGrid w:val="0"/>
              <w:spacing w:line="460" w:lineRule="atLeast"/>
              <w:jc w:val="center"/>
              <w:rPr>
                <w:rFonts w:hint="default" w:ascii="Arial" w:hAnsi="Arial" w:eastAsia="宋体" w:cs="Arial"/>
                <w:color w:val="666666"/>
                <w:sz w:val="18"/>
                <w:szCs w:val="18"/>
                <w:lang w:val="en-US" w:eastAsia="zh-CN"/>
              </w:rPr>
            </w:pPr>
            <w:r>
              <w:rPr>
                <w:rStyle w:val="5"/>
                <w:rFonts w:hint="eastAsia" w:cs="Arial"/>
                <w:color w:val="000000"/>
                <w:sz w:val="18"/>
                <w:szCs w:val="18"/>
                <w:lang w:val="en-US" w:eastAsia="zh-CN"/>
              </w:rPr>
              <w:t>优惠结束</w:t>
            </w:r>
            <w:r>
              <w:rPr>
                <w:rStyle w:val="5"/>
                <w:rFonts w:hint="eastAsia" w:cs="Arial"/>
                <w:color w:val="000000"/>
                <w:sz w:val="18"/>
                <w:szCs w:val="18"/>
              </w:rPr>
              <w:t>日</w:t>
            </w:r>
            <w:r>
              <w:rPr>
                <w:rStyle w:val="5"/>
                <w:rFonts w:hint="eastAsia" w:cs="Arial"/>
                <w:color w:val="000000"/>
                <w:sz w:val="18"/>
                <w:szCs w:val="18"/>
                <w:lang w:eastAsia="zh-CN"/>
              </w:rPr>
              <w:t>（</w:t>
            </w:r>
            <w:r>
              <w:rPr>
                <w:rStyle w:val="5"/>
                <w:rFonts w:hint="eastAsia" w:cs="Arial"/>
                <w:color w:val="000000"/>
                <w:sz w:val="18"/>
                <w:szCs w:val="18"/>
                <w:lang w:val="en-US" w:eastAsia="zh-CN"/>
              </w:rPr>
              <w:t>含）</w:t>
            </w:r>
          </w:p>
        </w:tc>
        <w:tc>
          <w:tcPr>
            <w:tcW w:w="3565" w:type="dxa"/>
            <w:gridSpan w:val="2"/>
            <w:vAlign w:val="center"/>
          </w:tcPr>
          <w:p w14:paraId="2351C94A">
            <w:pPr>
              <w:pStyle w:val="2"/>
              <w:keepNext w:val="0"/>
              <w:keepLines w:val="0"/>
              <w:pageBreakBefore w:val="0"/>
              <w:kinsoku/>
              <w:wordWrap/>
              <w:overflowPunct/>
              <w:topLinePunct w:val="0"/>
              <w:autoSpaceDE/>
              <w:autoSpaceDN/>
              <w:bidi w:val="0"/>
              <w:adjustRightInd w:val="0"/>
              <w:snapToGrid w:val="0"/>
              <w:spacing w:line="460" w:lineRule="atLeast"/>
              <w:jc w:val="center"/>
              <w:rPr>
                <w:rStyle w:val="5"/>
                <w:color w:val="000000"/>
              </w:rPr>
            </w:pPr>
            <w:r>
              <w:rPr>
                <w:rStyle w:val="5"/>
                <w:rFonts w:hint="eastAsia" w:cs="Arial"/>
                <w:color w:val="000000"/>
                <w:sz w:val="18"/>
                <w:szCs w:val="18"/>
              </w:rPr>
              <w:t>管理费率（年化）</w:t>
            </w:r>
          </w:p>
        </w:tc>
      </w:tr>
      <w:tr w14:paraId="7985BD4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92" w:hRule="atLeast"/>
          <w:tblHeader/>
          <w:jc w:val="center"/>
        </w:trPr>
        <w:tc>
          <w:tcPr>
            <w:tcW w:w="2460" w:type="dxa"/>
            <w:vMerge w:val="continue"/>
            <w:vAlign w:val="center"/>
          </w:tcPr>
          <w:p w14:paraId="71607D06">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121" w:type="dxa"/>
            <w:vMerge w:val="continue"/>
            <w:vAlign w:val="center"/>
          </w:tcPr>
          <w:p w14:paraId="7953AD43">
            <w:pPr>
              <w:keepNext w:val="0"/>
              <w:keepLines w:val="0"/>
              <w:pageBreakBefore w:val="0"/>
              <w:widowControl/>
              <w:kinsoku/>
              <w:wordWrap/>
              <w:overflowPunct/>
              <w:topLinePunct w:val="0"/>
              <w:autoSpaceDE/>
              <w:autoSpaceDN/>
              <w:bidi w:val="0"/>
              <w:adjustRightInd w:val="0"/>
              <w:snapToGrid w:val="0"/>
              <w:jc w:val="center"/>
              <w:rPr>
                <w:rFonts w:ascii="宋体" w:hAnsi="宋体" w:eastAsia="宋体" w:cs="宋体"/>
                <w:color w:val="000000"/>
                <w:kern w:val="0"/>
                <w:sz w:val="18"/>
                <w:szCs w:val="18"/>
                <w:lang w:bidi="ar"/>
              </w:rPr>
            </w:pPr>
          </w:p>
        </w:tc>
        <w:tc>
          <w:tcPr>
            <w:tcW w:w="2023" w:type="dxa"/>
            <w:vMerge w:val="continue"/>
            <w:vAlign w:val="center"/>
          </w:tcPr>
          <w:p w14:paraId="4B460578">
            <w:pPr>
              <w:keepNext w:val="0"/>
              <w:keepLines w:val="0"/>
              <w:pageBreakBefore w:val="0"/>
              <w:widowControl/>
              <w:kinsoku/>
              <w:wordWrap/>
              <w:overflowPunct/>
              <w:topLinePunct w:val="0"/>
              <w:autoSpaceDE/>
              <w:autoSpaceDN/>
              <w:bidi w:val="0"/>
              <w:adjustRightInd w:val="0"/>
              <w:snapToGrid w:val="0"/>
              <w:jc w:val="center"/>
              <w:rPr>
                <w:rFonts w:ascii="Arial" w:hAnsi="Arial" w:eastAsia="宋体" w:cs="Arial"/>
                <w:color w:val="666666"/>
                <w:kern w:val="0"/>
                <w:sz w:val="18"/>
                <w:szCs w:val="18"/>
              </w:rPr>
            </w:pPr>
          </w:p>
        </w:tc>
        <w:tc>
          <w:tcPr>
            <w:tcW w:w="2076" w:type="dxa"/>
            <w:vMerge w:val="continue"/>
            <w:vAlign w:val="center"/>
          </w:tcPr>
          <w:p w14:paraId="5B1DAA49">
            <w:pPr>
              <w:keepNext w:val="0"/>
              <w:keepLines w:val="0"/>
              <w:pageBreakBefore w:val="0"/>
              <w:widowControl/>
              <w:kinsoku/>
              <w:wordWrap/>
              <w:overflowPunct/>
              <w:topLinePunct w:val="0"/>
              <w:autoSpaceDE/>
              <w:autoSpaceDN/>
              <w:bidi w:val="0"/>
              <w:adjustRightInd w:val="0"/>
              <w:snapToGrid w:val="0"/>
              <w:jc w:val="center"/>
              <w:rPr>
                <w:rFonts w:ascii="Arial" w:hAnsi="Arial" w:eastAsia="宋体" w:cs="Arial"/>
                <w:color w:val="666666"/>
                <w:kern w:val="0"/>
                <w:sz w:val="18"/>
                <w:szCs w:val="18"/>
              </w:rPr>
            </w:pPr>
          </w:p>
        </w:tc>
        <w:tc>
          <w:tcPr>
            <w:tcW w:w="2049" w:type="dxa"/>
            <w:vAlign w:val="center"/>
          </w:tcPr>
          <w:p w14:paraId="518B5324">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前</w:t>
            </w:r>
          </w:p>
        </w:tc>
        <w:tc>
          <w:tcPr>
            <w:tcW w:w="1516" w:type="dxa"/>
            <w:vAlign w:val="center"/>
          </w:tcPr>
          <w:p w14:paraId="78E38C2B">
            <w:pPr>
              <w:pStyle w:val="2"/>
              <w:keepNext w:val="0"/>
              <w:keepLines w:val="0"/>
              <w:pageBreakBefore w:val="0"/>
              <w:kinsoku/>
              <w:wordWrap/>
              <w:overflowPunct/>
              <w:topLinePunct w:val="0"/>
              <w:autoSpaceDE/>
              <w:autoSpaceDN/>
              <w:bidi w:val="0"/>
              <w:adjustRightInd w:val="0"/>
              <w:snapToGrid w:val="0"/>
              <w:spacing w:line="460" w:lineRule="atLeast"/>
              <w:jc w:val="center"/>
              <w:rPr>
                <w:rStyle w:val="5"/>
                <w:rFonts w:cs="Arial"/>
                <w:color w:val="000000"/>
                <w:sz w:val="18"/>
                <w:szCs w:val="18"/>
              </w:rPr>
            </w:pPr>
            <w:r>
              <w:rPr>
                <w:rStyle w:val="5"/>
                <w:rFonts w:hint="eastAsia" w:cs="Arial"/>
                <w:color w:val="000000"/>
                <w:sz w:val="18"/>
                <w:szCs w:val="18"/>
                <w:lang w:val="en-US" w:eastAsia="zh-CN"/>
              </w:rPr>
              <w:t>优惠</w:t>
            </w:r>
            <w:r>
              <w:rPr>
                <w:rStyle w:val="5"/>
                <w:rFonts w:hint="eastAsia" w:cs="Arial"/>
                <w:color w:val="000000"/>
                <w:sz w:val="18"/>
                <w:szCs w:val="18"/>
              </w:rPr>
              <w:t>后</w:t>
            </w:r>
          </w:p>
        </w:tc>
      </w:tr>
      <w:tr w14:paraId="46F5D39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73" w:hRule="atLeast"/>
          <w:jc w:val="center"/>
        </w:trPr>
        <w:tc>
          <w:tcPr>
            <w:tcW w:w="2460" w:type="dxa"/>
            <w:vAlign w:val="center"/>
          </w:tcPr>
          <w:p w14:paraId="46F3A3B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Arial"/>
                <w:color w:val="000000"/>
                <w:kern w:val="0"/>
                <w:sz w:val="21"/>
                <w:szCs w:val="21"/>
                <w:lang w:val="en-US" w:eastAsia="zh-CN" w:bidi="ar-SA"/>
              </w:rPr>
            </w:pPr>
            <w:r>
              <w:rPr>
                <w:rFonts w:hint="eastAsia" w:ascii="宋体" w:hAnsi="宋体" w:eastAsia="宋体" w:cs="Arial"/>
                <w:color w:val="000000"/>
                <w:kern w:val="0"/>
                <w:sz w:val="21"/>
                <w:szCs w:val="21"/>
                <w:lang w:val="en-US" w:eastAsia="zh-CN" w:bidi="ar-SA"/>
              </w:rPr>
              <w:t>建信理财嘉鑫（稳利）固收类封闭式产品2026年第519期</w:t>
            </w:r>
          </w:p>
        </w:tc>
        <w:tc>
          <w:tcPr>
            <w:tcW w:w="2121" w:type="dxa"/>
            <w:vAlign w:val="center"/>
          </w:tcPr>
          <w:p w14:paraId="299822F6">
            <w:pPr>
              <w:keepNext w:val="0"/>
              <w:keepLines w:val="0"/>
              <w:pageBreakBefore w:val="0"/>
              <w:kinsoku/>
              <w:wordWrap/>
              <w:overflowPunct/>
              <w:topLinePunct w:val="0"/>
              <w:autoSpaceDE/>
              <w:autoSpaceDN/>
              <w:bidi w:val="0"/>
              <w:adjustRightInd w:val="0"/>
              <w:snapToGrid w:val="0"/>
              <w:jc w:val="center"/>
              <w:rPr>
                <w:rFonts w:hint="eastAsia" w:eastAsiaTheme="minorEastAsia"/>
                <w:color w:val="000000"/>
                <w:sz w:val="18"/>
                <w:szCs w:val="18"/>
                <w:lang w:eastAsia="zh-CN"/>
              </w:rPr>
            </w:pPr>
            <w:r>
              <w:rPr>
                <w:rFonts w:hint="eastAsia"/>
                <w:color w:val="000000"/>
                <w:sz w:val="18"/>
                <w:szCs w:val="18"/>
                <w:lang w:eastAsia="zh-CN"/>
              </w:rPr>
              <w:t>Z7000726000895</w:t>
            </w:r>
          </w:p>
        </w:tc>
        <w:tc>
          <w:tcPr>
            <w:tcW w:w="2023" w:type="dxa"/>
            <w:vAlign w:val="center"/>
          </w:tcPr>
          <w:p w14:paraId="22E60F5D">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202</w:t>
            </w:r>
            <w:r>
              <w:rPr>
                <w:rFonts w:hint="eastAsia"/>
                <w:color w:val="000000"/>
                <w:sz w:val="18"/>
                <w:szCs w:val="18"/>
                <w:lang w:val="en-US" w:eastAsia="zh-CN"/>
              </w:rPr>
              <w:t>6</w:t>
            </w:r>
            <w:r>
              <w:rPr>
                <w:rFonts w:hint="eastAsia"/>
                <w:color w:val="000000"/>
                <w:sz w:val="18"/>
                <w:szCs w:val="18"/>
              </w:rPr>
              <w:t>年</w:t>
            </w:r>
            <w:r>
              <w:rPr>
                <w:rFonts w:hint="eastAsia"/>
                <w:color w:val="000000"/>
                <w:sz w:val="18"/>
                <w:szCs w:val="18"/>
                <w:lang w:val="en-US" w:eastAsia="zh-CN"/>
              </w:rPr>
              <w:t>6</w:t>
            </w:r>
            <w:r>
              <w:rPr>
                <w:rFonts w:hint="eastAsia"/>
                <w:color w:val="000000"/>
                <w:sz w:val="18"/>
                <w:szCs w:val="18"/>
              </w:rPr>
              <w:t>月</w:t>
            </w:r>
            <w:r>
              <w:rPr>
                <w:rFonts w:hint="eastAsia"/>
                <w:color w:val="000000"/>
                <w:sz w:val="18"/>
                <w:szCs w:val="18"/>
                <w:lang w:val="en-US" w:eastAsia="zh-CN"/>
              </w:rPr>
              <w:t>17</w:t>
            </w:r>
            <w:r>
              <w:rPr>
                <w:rFonts w:hint="eastAsia"/>
                <w:color w:val="000000"/>
                <w:sz w:val="18"/>
                <w:szCs w:val="18"/>
              </w:rPr>
              <w:t>日</w:t>
            </w:r>
          </w:p>
        </w:tc>
        <w:tc>
          <w:tcPr>
            <w:tcW w:w="2076" w:type="dxa"/>
            <w:vAlign w:val="center"/>
          </w:tcPr>
          <w:p w14:paraId="6A048749">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202</w:t>
            </w:r>
            <w:r>
              <w:rPr>
                <w:rFonts w:hint="eastAsia"/>
                <w:color w:val="000000"/>
                <w:sz w:val="18"/>
                <w:szCs w:val="18"/>
                <w:lang w:val="en-US" w:eastAsia="zh-CN"/>
              </w:rPr>
              <w:t>7</w:t>
            </w:r>
            <w:r>
              <w:rPr>
                <w:rFonts w:hint="eastAsia"/>
                <w:color w:val="000000"/>
                <w:sz w:val="18"/>
                <w:szCs w:val="18"/>
              </w:rPr>
              <w:t>年</w:t>
            </w:r>
            <w:r>
              <w:rPr>
                <w:rFonts w:hint="eastAsia"/>
                <w:color w:val="000000"/>
                <w:sz w:val="18"/>
                <w:szCs w:val="18"/>
                <w:lang w:val="en-US" w:eastAsia="zh-CN"/>
              </w:rPr>
              <w:t>1</w:t>
            </w:r>
            <w:r>
              <w:rPr>
                <w:rFonts w:hint="eastAsia"/>
                <w:color w:val="000000"/>
                <w:sz w:val="18"/>
                <w:szCs w:val="18"/>
              </w:rPr>
              <w:t>月</w:t>
            </w:r>
            <w:r>
              <w:rPr>
                <w:rFonts w:hint="eastAsia"/>
                <w:color w:val="000000"/>
                <w:sz w:val="18"/>
                <w:szCs w:val="18"/>
                <w:lang w:val="en-US" w:eastAsia="zh-CN"/>
              </w:rPr>
              <w:t>13</w:t>
            </w:r>
            <w:r>
              <w:rPr>
                <w:rFonts w:hint="eastAsia"/>
                <w:color w:val="000000"/>
                <w:sz w:val="18"/>
                <w:szCs w:val="18"/>
              </w:rPr>
              <w:t>日</w:t>
            </w:r>
          </w:p>
        </w:tc>
        <w:tc>
          <w:tcPr>
            <w:tcW w:w="2049" w:type="dxa"/>
            <w:vAlign w:val="center"/>
          </w:tcPr>
          <w:p w14:paraId="48D9A8A6">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1</w:t>
            </w:r>
            <w:r>
              <w:rPr>
                <w:rFonts w:hint="eastAsia"/>
                <w:color w:val="000000"/>
                <w:sz w:val="18"/>
                <w:szCs w:val="18"/>
              </w:rPr>
              <w:t>0%</w:t>
            </w:r>
          </w:p>
        </w:tc>
        <w:tc>
          <w:tcPr>
            <w:tcW w:w="1516" w:type="dxa"/>
            <w:vAlign w:val="center"/>
          </w:tcPr>
          <w:p w14:paraId="659EFA67">
            <w:pPr>
              <w:keepNext w:val="0"/>
              <w:keepLines w:val="0"/>
              <w:pageBreakBefore w:val="0"/>
              <w:kinsoku/>
              <w:wordWrap/>
              <w:overflowPunct/>
              <w:topLinePunct w:val="0"/>
              <w:autoSpaceDE/>
              <w:autoSpaceDN/>
              <w:bidi w:val="0"/>
              <w:adjustRightInd w:val="0"/>
              <w:snapToGrid w:val="0"/>
              <w:jc w:val="center"/>
              <w:rPr>
                <w:rFonts w:hint="eastAsia"/>
                <w:color w:val="000000"/>
                <w:sz w:val="18"/>
                <w:szCs w:val="18"/>
              </w:rPr>
            </w:pPr>
            <w:r>
              <w:rPr>
                <w:rFonts w:hint="eastAsia"/>
                <w:color w:val="000000"/>
                <w:sz w:val="18"/>
                <w:szCs w:val="18"/>
              </w:rPr>
              <w:t>0.</w:t>
            </w:r>
            <w:r>
              <w:rPr>
                <w:rFonts w:hint="eastAsia"/>
                <w:color w:val="000000"/>
                <w:sz w:val="18"/>
                <w:szCs w:val="18"/>
                <w:lang w:val="en-US" w:eastAsia="zh-CN"/>
              </w:rPr>
              <w:t>01</w:t>
            </w:r>
            <w:r>
              <w:rPr>
                <w:rFonts w:hint="eastAsia"/>
                <w:color w:val="000000"/>
                <w:sz w:val="18"/>
                <w:szCs w:val="18"/>
              </w:rPr>
              <w:t>%</w:t>
            </w:r>
          </w:p>
        </w:tc>
      </w:tr>
    </w:tbl>
    <w:p w14:paraId="53FE5434">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本公告未提及事宜，按原产品说明书和风险揭示书的约定执行。</w:t>
      </w:r>
    </w:p>
    <w:p w14:paraId="508F82F2">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cs="Arial"/>
          <w:color w:val="000000"/>
          <w:sz w:val="21"/>
          <w:szCs w:val="21"/>
        </w:rPr>
        <w:t>建信理财有限责任公司将本着勤勉尽职的原则持续为您提供专业化理财服务。</w:t>
      </w:r>
    </w:p>
    <w:p w14:paraId="57192C05">
      <w:pPr>
        <w:pStyle w:val="2"/>
        <w:keepNext w:val="0"/>
        <w:keepLines w:val="0"/>
        <w:pageBreakBefore w:val="0"/>
        <w:kinsoku/>
        <w:wordWrap/>
        <w:overflowPunct/>
        <w:topLinePunct w:val="0"/>
        <w:autoSpaceDE/>
        <w:autoSpaceDN/>
        <w:bidi w:val="0"/>
        <w:adjustRightInd/>
        <w:snapToGrid w:val="0"/>
        <w:spacing w:line="460" w:lineRule="atLeast"/>
        <w:ind w:firstLine="420"/>
        <w:rPr>
          <w:rFonts w:hint="eastAsia" w:cs="Arial"/>
          <w:color w:val="000000"/>
          <w:sz w:val="21"/>
          <w:szCs w:val="21"/>
        </w:rPr>
      </w:pPr>
      <w:r>
        <w:rPr>
          <w:rFonts w:hint="eastAsia" w:ascii="微软雅黑" w:hAnsi="微软雅黑" w:eastAsia="微软雅黑" w:cs="Arial"/>
          <w:color w:val="666666"/>
          <w:sz w:val="21"/>
          <w:szCs w:val="21"/>
        </w:rPr>
        <w:t> </w:t>
      </w:r>
      <w:r>
        <w:rPr>
          <w:rFonts w:hint="eastAsia" w:cs="Arial"/>
          <w:color w:val="000000"/>
          <w:sz w:val="21"/>
          <w:szCs w:val="21"/>
        </w:rPr>
        <w:t>特此公告</w:t>
      </w:r>
    </w:p>
    <w:p w14:paraId="6CC573A4">
      <w:pPr>
        <w:pStyle w:val="2"/>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44EF84A7">
      <w:pPr>
        <w:pStyle w:val="2"/>
        <w:snapToGrid w:val="0"/>
        <w:spacing w:before="0" w:beforeAutospacing="0" w:after="0" w:afterAutospacing="0" w:line="460" w:lineRule="atLeast"/>
        <w:ind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15</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1A61B07"/>
    <w:rsid w:val="073720A8"/>
    <w:rsid w:val="08197FE1"/>
    <w:rsid w:val="20166296"/>
    <w:rsid w:val="22F8694F"/>
    <w:rsid w:val="2A8C7D5D"/>
    <w:rsid w:val="2C0E7F56"/>
    <w:rsid w:val="327D393D"/>
    <w:rsid w:val="394D2B5B"/>
    <w:rsid w:val="3ABF48DF"/>
    <w:rsid w:val="3E8C3E12"/>
    <w:rsid w:val="4C4F20AE"/>
    <w:rsid w:val="4FC7505D"/>
    <w:rsid w:val="54CB2E50"/>
    <w:rsid w:val="5C935F1B"/>
    <w:rsid w:val="601E663F"/>
    <w:rsid w:val="747B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2026-06-11T09:30:46Z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4D3982D2F9F34E328812C84CC43CFE44_13</vt:lpwstr>
  </property>
</Properties>
</file>