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hint="eastAsia" w:ascii="宋体" w:hAnsi="宋体" w:eastAsia="宋体" w:cs="Arial"/>
          <w:b/>
          <w:color w:val="000000"/>
          <w:kern w:val="0"/>
          <w:szCs w:val="21"/>
          <w:lang w:val="en-US" w:eastAsia="zh-CN"/>
        </w:rPr>
      </w:pPr>
      <w:bookmarkStart w:id="0" w:name="_GoBack"/>
      <w:r>
        <w:rPr>
          <w:rFonts w:hint="eastAsia" w:ascii="宋体" w:hAnsi="宋体" w:eastAsia="宋体" w:cs="Arial"/>
          <w:b/>
          <w:color w:val="000000"/>
          <w:kern w:val="0"/>
          <w:szCs w:val="21"/>
        </w:rPr>
        <w:t>关于</w:t>
      </w:r>
      <w:r>
        <w:rPr>
          <w:rFonts w:hint="eastAsia" w:ascii="宋体" w:hAnsi="宋体" w:eastAsia="宋体" w:cs="Arial"/>
          <w:b/>
          <w:color w:val="000000"/>
          <w:kern w:val="0"/>
          <w:szCs w:val="21"/>
          <w:lang w:val="en-US" w:eastAsia="zh-CN"/>
        </w:rPr>
        <w:t>建信理财嘉鑫固收类封闭式产品2026年第545期管理费率优惠</w:t>
      </w:r>
      <w:r>
        <w:rPr>
          <w:rFonts w:hint="eastAsia" w:ascii="宋体" w:hAnsi="宋体" w:eastAsia="宋体" w:cs="Arial"/>
          <w:b/>
          <w:color w:val="000000"/>
          <w:kern w:val="0"/>
          <w:szCs w:val="21"/>
        </w:rPr>
        <w:t>的公告</w:t>
      </w:r>
    </w:p>
    <w:bookmarkEnd w:id="0"/>
    <w:p w14:paraId="04D52AA8">
      <w:pPr>
        <w:pStyle w:val="2"/>
        <w:keepNext w:val="0"/>
        <w:keepLines w:val="0"/>
        <w:pageBreakBefore w:val="0"/>
        <w:kinsoku/>
        <w:wordWrap/>
        <w:overflowPunct/>
        <w:topLinePunct w:val="0"/>
        <w:autoSpaceDE/>
        <w:autoSpaceDN/>
        <w:bidi w:val="0"/>
        <w:adjustRightInd/>
        <w:snapToGrid w:val="0"/>
        <w:spacing w:line="460" w:lineRule="atLeast"/>
        <w:rPr>
          <w:rFonts w:ascii="微软雅黑" w:hAnsi="微软雅黑" w:eastAsia="微软雅黑" w:cs="Arial"/>
          <w:color w:val="666666"/>
          <w:sz w:val="21"/>
          <w:szCs w:val="21"/>
        </w:rPr>
      </w:pPr>
      <w:r>
        <w:rPr>
          <w:rFonts w:hint="eastAsia" w:cs="Arial"/>
          <w:color w:val="000000"/>
          <w:sz w:val="21"/>
          <w:szCs w:val="21"/>
        </w:rPr>
        <w:t>尊敬的投资者：</w:t>
      </w:r>
    </w:p>
    <w:p w14:paraId="4D961771">
      <w:pPr>
        <w:pStyle w:val="2"/>
        <w:keepNext w:val="0"/>
        <w:keepLines w:val="0"/>
        <w:pageBreakBefore w:val="0"/>
        <w:kinsoku/>
        <w:wordWrap/>
        <w:overflowPunct/>
        <w:topLinePunct w:val="0"/>
        <w:autoSpaceDE/>
        <w:autoSpaceDN/>
        <w:bidi w:val="0"/>
        <w:adjustRightInd/>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对</w:t>
      </w:r>
      <w:r>
        <w:rPr>
          <w:rFonts w:hint="eastAsia" w:cs="Arial"/>
          <w:color w:val="000000"/>
          <w:kern w:val="0"/>
          <w:sz w:val="21"/>
          <w:szCs w:val="21"/>
          <w:lang w:val="en-US" w:eastAsia="zh-CN" w:bidi="ar-SA"/>
        </w:rPr>
        <w:t>建信理财嘉鑫固收类封闭式产品2026年第545期</w:t>
      </w:r>
      <w:r>
        <w:rPr>
          <w:rFonts w:hint="eastAsia" w:cs="Arial"/>
          <w:color w:val="000000"/>
          <w:sz w:val="21"/>
          <w:szCs w:val="21"/>
        </w:rPr>
        <w:t>的管理费率</w:t>
      </w:r>
      <w:r>
        <w:rPr>
          <w:rFonts w:hint="eastAsia" w:cs="Arial"/>
          <w:color w:val="000000"/>
          <w:sz w:val="21"/>
          <w:szCs w:val="21"/>
          <w:lang w:val="en-US" w:eastAsia="zh-CN"/>
        </w:rPr>
        <w:t>进行优惠</w:t>
      </w:r>
      <w:r>
        <w:rPr>
          <w:rFonts w:hint="eastAsia" w:cs="Arial"/>
          <w:color w:val="000000"/>
          <w:sz w:val="21"/>
          <w:szCs w:val="21"/>
        </w:rPr>
        <w:t>，具体调整内容如下：</w:t>
      </w:r>
    </w:p>
    <w:tbl>
      <w:tblPr>
        <w:tblStyle w:val="3"/>
        <w:tblW w:w="4319"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460"/>
        <w:gridCol w:w="2121"/>
        <w:gridCol w:w="2023"/>
        <w:gridCol w:w="2076"/>
        <w:gridCol w:w="2049"/>
        <w:gridCol w:w="151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1" w:hRule="atLeast"/>
          <w:tblHeader/>
          <w:jc w:val="center"/>
        </w:trPr>
        <w:tc>
          <w:tcPr>
            <w:tcW w:w="2460" w:type="dxa"/>
            <w:vMerge w:val="restart"/>
            <w:vAlign w:val="center"/>
          </w:tcPr>
          <w:p w14:paraId="17F1658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21" w:type="dxa"/>
            <w:vMerge w:val="restart"/>
            <w:vAlign w:val="center"/>
          </w:tcPr>
          <w:p w14:paraId="560934D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Style w:val="5"/>
                <w:rFonts w:hint="eastAsia" w:cs="Arial"/>
                <w:color w:val="000000"/>
                <w:sz w:val="18"/>
                <w:szCs w:val="18"/>
              </w:rPr>
              <w:t>全国银行业理财信息登记系统编号</w:t>
            </w:r>
          </w:p>
        </w:tc>
        <w:tc>
          <w:tcPr>
            <w:tcW w:w="2023" w:type="dxa"/>
            <w:vMerge w:val="restart"/>
            <w:vAlign w:val="center"/>
          </w:tcPr>
          <w:p w14:paraId="0CACA5DB">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w:t>
            </w:r>
            <w:r>
              <w:rPr>
                <w:rStyle w:val="5"/>
                <w:rFonts w:hint="eastAsia" w:cs="Arial"/>
                <w:color w:val="000000"/>
                <w:sz w:val="18"/>
                <w:szCs w:val="18"/>
              </w:rPr>
              <w:t>起始日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2076" w:type="dxa"/>
            <w:vMerge w:val="restart"/>
            <w:vAlign w:val="center"/>
          </w:tcPr>
          <w:p w14:paraId="71B95EC9">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优惠结束</w:t>
            </w:r>
            <w:r>
              <w:rPr>
                <w:rStyle w:val="5"/>
                <w:rFonts w:hint="eastAsia" w:cs="Arial"/>
                <w:color w:val="000000"/>
                <w:sz w:val="18"/>
                <w:szCs w:val="18"/>
              </w:rPr>
              <w:t>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3565" w:type="dxa"/>
            <w:gridSpan w:val="2"/>
            <w:vAlign w:val="center"/>
          </w:tcPr>
          <w:p w14:paraId="2351C94A">
            <w:pPr>
              <w:pStyle w:val="2"/>
              <w:keepNext w:val="0"/>
              <w:keepLines w:val="0"/>
              <w:pageBreakBefore w:val="0"/>
              <w:kinsoku/>
              <w:wordWrap/>
              <w:overflowPunct/>
              <w:topLinePunct w:val="0"/>
              <w:autoSpaceDE/>
              <w:autoSpaceDN/>
              <w:bidi w:val="0"/>
              <w:adjustRightInd w:val="0"/>
              <w:snapToGrid w:val="0"/>
              <w:spacing w:line="460" w:lineRule="atLeast"/>
              <w:jc w:val="center"/>
              <w:rPr>
                <w:rStyle w:val="5"/>
                <w:color w:val="000000"/>
              </w:rPr>
            </w:pPr>
            <w:r>
              <w:rPr>
                <w:rStyle w:val="5"/>
                <w:rFonts w:hint="eastAsia" w:cs="Arial"/>
                <w:color w:val="000000"/>
                <w:sz w:val="18"/>
                <w:szCs w:val="18"/>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92" w:hRule="atLeast"/>
          <w:tblHeader/>
          <w:jc w:val="center"/>
        </w:trPr>
        <w:tc>
          <w:tcPr>
            <w:tcW w:w="2460" w:type="dxa"/>
            <w:vMerge w:val="continue"/>
            <w:vAlign w:val="center"/>
          </w:tcPr>
          <w:p w14:paraId="71607D06">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121" w:type="dxa"/>
            <w:vMerge w:val="continue"/>
            <w:vAlign w:val="center"/>
          </w:tcPr>
          <w:p w14:paraId="7953AD43">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023" w:type="dxa"/>
            <w:vMerge w:val="continue"/>
            <w:vAlign w:val="center"/>
          </w:tcPr>
          <w:p w14:paraId="4B460578">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76" w:type="dxa"/>
            <w:vMerge w:val="continue"/>
            <w:vAlign w:val="center"/>
          </w:tcPr>
          <w:p w14:paraId="5B1DAA49">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49" w:type="dxa"/>
            <w:vAlign w:val="center"/>
          </w:tcPr>
          <w:p w14:paraId="518B5324">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前</w:t>
            </w:r>
          </w:p>
        </w:tc>
        <w:tc>
          <w:tcPr>
            <w:tcW w:w="1516" w:type="dxa"/>
            <w:vAlign w:val="center"/>
          </w:tcPr>
          <w:p w14:paraId="78E38C2B">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3" w:hRule="atLeast"/>
          <w:jc w:val="center"/>
        </w:trPr>
        <w:tc>
          <w:tcPr>
            <w:tcW w:w="2460" w:type="dxa"/>
            <w:vAlign w:val="center"/>
          </w:tcPr>
          <w:p w14:paraId="46F3A3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建信理财嘉鑫固收类封闭式产品2026年第545期</w:t>
            </w:r>
          </w:p>
        </w:tc>
        <w:tc>
          <w:tcPr>
            <w:tcW w:w="2121" w:type="dxa"/>
            <w:vAlign w:val="center"/>
          </w:tcPr>
          <w:p w14:paraId="299822F6">
            <w:pPr>
              <w:keepNext w:val="0"/>
              <w:keepLines w:val="0"/>
              <w:pageBreakBefore w:val="0"/>
              <w:kinsoku/>
              <w:wordWrap/>
              <w:overflowPunct/>
              <w:topLinePunct w:val="0"/>
              <w:autoSpaceDE/>
              <w:autoSpaceDN/>
              <w:bidi w:val="0"/>
              <w:adjustRightInd w:val="0"/>
              <w:snapToGrid w:val="0"/>
              <w:jc w:val="center"/>
              <w:rPr>
                <w:rFonts w:hint="eastAsia" w:eastAsiaTheme="minorEastAsia"/>
                <w:color w:val="000000"/>
                <w:sz w:val="18"/>
                <w:szCs w:val="18"/>
                <w:lang w:eastAsia="zh-CN"/>
              </w:rPr>
            </w:pPr>
            <w:r>
              <w:rPr>
                <w:rFonts w:hint="eastAsia"/>
                <w:color w:val="000000"/>
                <w:sz w:val="18"/>
                <w:szCs w:val="18"/>
                <w:lang w:eastAsia="zh-CN"/>
              </w:rPr>
              <w:t>Z7000726000988</w:t>
            </w:r>
          </w:p>
        </w:tc>
        <w:tc>
          <w:tcPr>
            <w:tcW w:w="2023" w:type="dxa"/>
            <w:vAlign w:val="center"/>
          </w:tcPr>
          <w:p w14:paraId="22E60F5D">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6</w:t>
            </w:r>
            <w:r>
              <w:rPr>
                <w:rFonts w:hint="eastAsia"/>
                <w:color w:val="000000"/>
                <w:sz w:val="18"/>
                <w:szCs w:val="18"/>
              </w:rPr>
              <w:t>月</w:t>
            </w:r>
            <w:r>
              <w:rPr>
                <w:rFonts w:hint="eastAsia"/>
                <w:color w:val="000000"/>
                <w:sz w:val="18"/>
                <w:szCs w:val="18"/>
                <w:lang w:val="en-US" w:eastAsia="zh-CN"/>
              </w:rPr>
              <w:t>17</w:t>
            </w:r>
            <w:r>
              <w:rPr>
                <w:rFonts w:hint="eastAsia"/>
                <w:color w:val="000000"/>
                <w:sz w:val="18"/>
                <w:szCs w:val="18"/>
              </w:rPr>
              <w:t>日</w:t>
            </w:r>
          </w:p>
        </w:tc>
        <w:tc>
          <w:tcPr>
            <w:tcW w:w="2076" w:type="dxa"/>
            <w:vAlign w:val="center"/>
          </w:tcPr>
          <w:p w14:paraId="6A048749">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9</w:t>
            </w:r>
            <w:r>
              <w:rPr>
                <w:rFonts w:hint="eastAsia"/>
                <w:color w:val="000000"/>
                <w:sz w:val="18"/>
                <w:szCs w:val="18"/>
              </w:rPr>
              <w:t>月</w:t>
            </w:r>
            <w:r>
              <w:rPr>
                <w:rFonts w:hint="eastAsia"/>
                <w:color w:val="000000"/>
                <w:sz w:val="18"/>
                <w:szCs w:val="18"/>
                <w:lang w:val="en-US" w:eastAsia="zh-CN"/>
              </w:rPr>
              <w:t>15</w:t>
            </w:r>
            <w:r>
              <w:rPr>
                <w:rFonts w:hint="eastAsia"/>
                <w:color w:val="000000"/>
                <w:sz w:val="18"/>
                <w:szCs w:val="18"/>
              </w:rPr>
              <w:t>日</w:t>
            </w:r>
          </w:p>
        </w:tc>
        <w:tc>
          <w:tcPr>
            <w:tcW w:w="2049" w:type="dxa"/>
            <w:vAlign w:val="center"/>
          </w:tcPr>
          <w:p w14:paraId="48D9A8A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1</w:t>
            </w:r>
            <w:r>
              <w:rPr>
                <w:rFonts w:hint="eastAsia"/>
                <w:color w:val="000000"/>
                <w:sz w:val="18"/>
                <w:szCs w:val="18"/>
              </w:rPr>
              <w:t>0%</w:t>
            </w:r>
          </w:p>
        </w:tc>
        <w:tc>
          <w:tcPr>
            <w:tcW w:w="1516" w:type="dxa"/>
            <w:vAlign w:val="center"/>
          </w:tcPr>
          <w:p w14:paraId="659EFA67">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01</w:t>
            </w:r>
            <w:r>
              <w:rPr>
                <w:rFonts w:hint="eastAsia"/>
                <w:color w:val="000000"/>
                <w:sz w:val="18"/>
                <w:szCs w:val="18"/>
              </w:rPr>
              <w:t>%</w:t>
            </w:r>
          </w:p>
        </w:tc>
      </w:tr>
    </w:tbl>
    <w:p w14:paraId="53FE5434">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508F82F2">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ascii="微软雅黑" w:hAnsi="微软雅黑" w:eastAsia="微软雅黑" w:cs="Arial"/>
          <w:color w:val="666666"/>
          <w:sz w:val="21"/>
          <w:szCs w:val="21"/>
        </w:rPr>
        <w:t> </w:t>
      </w:r>
      <w:r>
        <w:rPr>
          <w:rFonts w:hint="eastAsia" w:cs="Arial"/>
          <w:color w:val="000000"/>
          <w:sz w:val="21"/>
          <w:szCs w:val="21"/>
        </w:rPr>
        <w:t>特此公告</w:t>
      </w:r>
    </w:p>
    <w:p w14:paraId="6CC573A4">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44EF84A7">
      <w:pPr>
        <w:pStyle w:val="2"/>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16</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1A61B07"/>
    <w:rsid w:val="073720A8"/>
    <w:rsid w:val="08197FE1"/>
    <w:rsid w:val="1F011728"/>
    <w:rsid w:val="22F8694F"/>
    <w:rsid w:val="2A8C7D5D"/>
    <w:rsid w:val="2C0E7F56"/>
    <w:rsid w:val="327D393D"/>
    <w:rsid w:val="394D2B5B"/>
    <w:rsid w:val="3ABF48DF"/>
    <w:rsid w:val="3E8C3E12"/>
    <w:rsid w:val="4C4F20AE"/>
    <w:rsid w:val="54CB2E50"/>
    <w:rsid w:val="5C935F1B"/>
    <w:rsid w:val="601E663F"/>
    <w:rsid w:val="747B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2026-06-15T01:28:44Z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2C04C1ED89AD49339D5E2D8C5DFDEDEE_13</vt:lpwstr>
  </property>
</Properties>
</file>