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建信理财嘉鑫（稳利）固收类最低持有7天产品第56期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-JXJXZDCY7D0520056</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建信理财嘉鑫（稳利）固收类最低持有7天产品第56期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建信理财嘉鑫（稳利）固收类最低持有7天产品第56期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Z7000726001252</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58A570B"/>
    <w:rsid w:val="285E03C4"/>
    <w:rsid w:val="34FD0C24"/>
    <w:rsid w:val="350C32A2"/>
    <w:rsid w:val="381721C7"/>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4703E3"/>
    <w:rsid w:val="64742086"/>
    <w:rsid w:val="653759C7"/>
    <w:rsid w:val="66272CE8"/>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2026-06-11T08:53:01Z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159C9FF034E14F939AA3550F7A6E585C_13</vt:lpwstr>
  </property>
</Properties>
</file>