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AF6CC">
      <w:pPr>
        <w:pStyle w:val="3"/>
        <w:jc w:val="center"/>
        <w:rPr>
          <w:rFonts w:ascii="彩虹粗仿宋" w:hAnsi="微软雅黑" w:eastAsia="彩虹粗仿宋" w:cs="宋体"/>
          <w:color w:val="333333"/>
          <w:kern w:val="0"/>
          <w:szCs w:val="32"/>
        </w:rPr>
      </w:pPr>
      <w:r>
        <w:rPr>
          <w:rFonts w:hint="eastAsia" w:ascii="彩虹粗仿宋" w:hAnsi="彩虹粗仿宋" w:eastAsia="彩虹粗仿宋" w:cs="彩虹粗仿宋"/>
          <w:b w:val="0"/>
          <w:bCs/>
          <w:sz w:val="36"/>
          <w:szCs w:val="36"/>
        </w:rPr>
        <w:t>关于建信理财部分产品费率优惠的公告</w:t>
      </w:r>
    </w:p>
    <w:p w14:paraId="29086F39">
      <w:pPr>
        <w:jc w:val="center"/>
        <w:rPr>
          <w:rFonts w:ascii="彩虹粗仿宋" w:hAnsi="微软雅黑" w:eastAsia="彩虹粗仿宋" w:cs="宋体"/>
          <w:color w:val="333333"/>
          <w:kern w:val="0"/>
          <w:sz w:val="32"/>
          <w:szCs w:val="32"/>
        </w:rPr>
      </w:pPr>
    </w:p>
    <w:p w14:paraId="1A41591D">
      <w:pPr>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尊敬的投资者：</w:t>
      </w:r>
    </w:p>
    <w:p w14:paraId="3B2FBF9B">
      <w:pPr>
        <w:pStyle w:val="4"/>
        <w:snapToGrid w:val="0"/>
        <w:spacing w:line="360" w:lineRule="auto"/>
        <w:ind w:firstLine="640" w:firstLineChars="200"/>
        <w:rPr>
          <w:rFonts w:hint="eastAsia" w:ascii="彩虹粗仿宋" w:hAnsi="微软雅黑" w:eastAsia="彩虹粗仿宋"/>
          <w:color w:val="333333"/>
          <w:sz w:val="32"/>
          <w:szCs w:val="32"/>
        </w:rPr>
      </w:pPr>
      <w:r>
        <w:rPr>
          <w:rFonts w:hint="eastAsia" w:ascii="彩虹粗仿宋" w:hAnsi="微软雅黑" w:eastAsia="彩虹粗仿宋"/>
          <w:color w:val="333333"/>
          <w:sz w:val="32"/>
          <w:szCs w:val="32"/>
        </w:rPr>
        <w:t>为更好地为客户提供投资理财服务，建信理财有限责任公司拟对以下产品进行费率优惠，具体内容如下：</w:t>
      </w:r>
    </w:p>
    <w:p w14:paraId="30911B74">
      <w:pPr>
        <w:pStyle w:val="4"/>
        <w:snapToGrid w:val="0"/>
        <w:spacing w:line="360" w:lineRule="auto"/>
        <w:ind w:firstLine="640" w:firstLineChars="200"/>
        <w:rPr>
          <w:rFonts w:hint="default" w:ascii="彩虹粗仿宋" w:hAnsi="微软雅黑" w:eastAsia="彩虹粗仿宋"/>
          <w:color w:val="333333"/>
          <w:sz w:val="32"/>
          <w:szCs w:val="32"/>
          <w:lang w:val="en-US" w:eastAsia="zh-CN"/>
        </w:rPr>
      </w:pPr>
      <w:r>
        <w:rPr>
          <w:rFonts w:hint="eastAsia" w:ascii="彩虹粗仿宋" w:hAnsi="微软雅黑" w:eastAsia="彩虹粗仿宋"/>
          <w:color w:val="333333"/>
          <w:sz w:val="32"/>
          <w:szCs w:val="32"/>
          <w:lang w:val="en-US" w:eastAsia="zh-CN"/>
        </w:rPr>
        <w:t>一、管理费率</w:t>
      </w:r>
    </w:p>
    <w:tbl>
      <w:tblPr>
        <w:tblStyle w:val="6"/>
        <w:tblW w:w="54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1931"/>
        <w:gridCol w:w="961"/>
        <w:gridCol w:w="972"/>
        <w:gridCol w:w="1596"/>
        <w:gridCol w:w="1620"/>
      </w:tblGrid>
      <w:tr w14:paraId="31B6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restart"/>
            <w:vAlign w:val="center"/>
          </w:tcPr>
          <w:p w14:paraId="246F04F2">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产品名称</w:t>
            </w:r>
          </w:p>
        </w:tc>
        <w:tc>
          <w:tcPr>
            <w:tcW w:w="1044" w:type="pct"/>
            <w:vMerge w:val="restart"/>
            <w:vAlign w:val="center"/>
          </w:tcPr>
          <w:p w14:paraId="521D88E9">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全国银行业理财信息登记系统编号</w:t>
            </w:r>
          </w:p>
        </w:tc>
        <w:tc>
          <w:tcPr>
            <w:tcW w:w="1045" w:type="pct"/>
            <w:gridSpan w:val="2"/>
            <w:vAlign w:val="center"/>
          </w:tcPr>
          <w:p w14:paraId="521A3A0B">
            <w:pPr>
              <w:autoSpaceDE w:val="0"/>
              <w:autoSpaceDN w:val="0"/>
              <w:adjustRightInd w:val="0"/>
              <w:jc w:val="center"/>
              <w:rPr>
                <w:rFonts w:ascii="彩虹粗仿宋" w:eastAsia="彩虹粗仿宋"/>
                <w:szCs w:val="21"/>
              </w:rPr>
            </w:pPr>
            <w:r>
              <w:rPr>
                <w:rFonts w:hint="eastAsia" w:ascii="彩虹粗仿宋" w:eastAsia="彩虹粗仿宋"/>
                <w:szCs w:val="21"/>
              </w:rPr>
              <w:t>管理费率（年化）</w:t>
            </w:r>
          </w:p>
        </w:tc>
        <w:tc>
          <w:tcPr>
            <w:tcW w:w="863" w:type="pct"/>
            <w:vMerge w:val="restart"/>
            <w:vAlign w:val="center"/>
          </w:tcPr>
          <w:p w14:paraId="5331AB4F">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优惠起始日（含）</w:t>
            </w:r>
          </w:p>
        </w:tc>
        <w:tc>
          <w:tcPr>
            <w:tcW w:w="876" w:type="pct"/>
            <w:vMerge w:val="restart"/>
            <w:vAlign w:val="center"/>
          </w:tcPr>
          <w:p w14:paraId="5A52917F">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优惠结束日（含）</w:t>
            </w:r>
          </w:p>
        </w:tc>
      </w:tr>
      <w:tr w14:paraId="09C3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continue"/>
            <w:vAlign w:val="center"/>
          </w:tcPr>
          <w:p w14:paraId="4CF2CB2E">
            <w:pPr>
              <w:autoSpaceDE w:val="0"/>
              <w:autoSpaceDN w:val="0"/>
              <w:adjustRightInd w:val="0"/>
              <w:jc w:val="center"/>
            </w:pPr>
          </w:p>
        </w:tc>
        <w:tc>
          <w:tcPr>
            <w:tcW w:w="1044" w:type="pct"/>
            <w:vMerge w:val="continue"/>
            <w:vAlign w:val="center"/>
          </w:tcPr>
          <w:p w14:paraId="6B3E051E">
            <w:pPr>
              <w:autoSpaceDE w:val="0"/>
              <w:autoSpaceDN w:val="0"/>
              <w:adjustRightInd w:val="0"/>
              <w:jc w:val="center"/>
            </w:pPr>
          </w:p>
        </w:tc>
        <w:tc>
          <w:tcPr>
            <w:tcW w:w="519" w:type="pct"/>
            <w:vAlign w:val="center"/>
          </w:tcPr>
          <w:p w14:paraId="6BD0A268">
            <w:pPr>
              <w:autoSpaceDE w:val="0"/>
              <w:autoSpaceDN w:val="0"/>
              <w:adjustRightInd w:val="0"/>
              <w:jc w:val="center"/>
              <w:rPr>
                <w:rFonts w:ascii="彩虹粗仿宋" w:eastAsia="彩虹粗仿宋"/>
                <w:szCs w:val="21"/>
              </w:rPr>
            </w:pPr>
            <w:r>
              <w:rPr>
                <w:rFonts w:hint="eastAsia" w:ascii="彩虹粗仿宋" w:eastAsia="彩虹粗仿宋"/>
                <w:szCs w:val="21"/>
              </w:rPr>
              <w:t>优惠前</w:t>
            </w:r>
          </w:p>
        </w:tc>
        <w:tc>
          <w:tcPr>
            <w:tcW w:w="525" w:type="pct"/>
            <w:vAlign w:val="center"/>
          </w:tcPr>
          <w:p w14:paraId="6C53157A">
            <w:pPr>
              <w:autoSpaceDE w:val="0"/>
              <w:autoSpaceDN w:val="0"/>
              <w:adjustRightInd w:val="0"/>
              <w:jc w:val="center"/>
              <w:rPr>
                <w:rFonts w:ascii="彩虹粗仿宋" w:eastAsia="彩虹粗仿宋"/>
                <w:szCs w:val="21"/>
              </w:rPr>
            </w:pPr>
            <w:r>
              <w:rPr>
                <w:rFonts w:hint="eastAsia" w:ascii="彩虹粗仿宋" w:eastAsia="彩虹粗仿宋"/>
                <w:szCs w:val="21"/>
              </w:rPr>
              <w:t>优惠后</w:t>
            </w:r>
          </w:p>
        </w:tc>
        <w:tc>
          <w:tcPr>
            <w:tcW w:w="863" w:type="pct"/>
            <w:vMerge w:val="continue"/>
            <w:vAlign w:val="center"/>
          </w:tcPr>
          <w:p w14:paraId="5FCB56AC">
            <w:pPr>
              <w:autoSpaceDE w:val="0"/>
              <w:autoSpaceDN w:val="0"/>
              <w:adjustRightInd w:val="0"/>
              <w:jc w:val="center"/>
              <w:rPr>
                <w:rFonts w:ascii="彩虹粗仿宋" w:eastAsia="彩虹粗仿宋"/>
                <w:szCs w:val="21"/>
              </w:rPr>
            </w:pPr>
          </w:p>
        </w:tc>
        <w:tc>
          <w:tcPr>
            <w:tcW w:w="876" w:type="pct"/>
            <w:vMerge w:val="continue"/>
            <w:vAlign w:val="center"/>
          </w:tcPr>
          <w:p w14:paraId="1C7A8254">
            <w:pPr>
              <w:autoSpaceDE w:val="0"/>
              <w:autoSpaceDN w:val="0"/>
              <w:adjustRightInd w:val="0"/>
              <w:jc w:val="center"/>
              <w:rPr>
                <w:rFonts w:ascii="彩虹粗仿宋" w:eastAsia="彩虹粗仿宋"/>
                <w:szCs w:val="21"/>
              </w:rPr>
            </w:pPr>
          </w:p>
        </w:tc>
      </w:tr>
      <w:tr w14:paraId="4A4A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4" w:type="dxa"/>
            <w:vAlign w:val="center"/>
          </w:tcPr>
          <w:p w14:paraId="788CAD27">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lang w:val="en-US" w:eastAsia="zh-CN"/>
              </w:rPr>
              <w:t>建信理财龙鑫（行业优选）固收类最低持有180天产品第1期</w:t>
            </w:r>
          </w:p>
        </w:tc>
        <w:tc>
          <w:tcPr>
            <w:tcW w:w="1044" w:type="pct"/>
            <w:vAlign w:val="center"/>
          </w:tcPr>
          <w:p w14:paraId="622B8871">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Z7000726001248</w:t>
            </w:r>
          </w:p>
        </w:tc>
        <w:tc>
          <w:tcPr>
            <w:tcW w:w="519" w:type="pct"/>
            <w:vAlign w:val="center"/>
          </w:tcPr>
          <w:p w14:paraId="66E938AB">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0.2%</w:t>
            </w:r>
          </w:p>
        </w:tc>
        <w:tc>
          <w:tcPr>
            <w:tcW w:w="525" w:type="pct"/>
            <w:vAlign w:val="center"/>
          </w:tcPr>
          <w:p w14:paraId="28E0500C">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0.1%</w:t>
            </w:r>
          </w:p>
        </w:tc>
        <w:tc>
          <w:tcPr>
            <w:tcW w:w="863" w:type="pct"/>
            <w:vAlign w:val="center"/>
          </w:tcPr>
          <w:p w14:paraId="4E4EF5E2">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6</w:t>
            </w:r>
            <w:r>
              <w:rPr>
                <w:rFonts w:hint="eastAsia" w:ascii="彩虹粗仿宋" w:eastAsia="彩虹粗仿宋"/>
                <w:szCs w:val="21"/>
                <w:highlight w:val="none"/>
              </w:rPr>
              <w:t>月</w:t>
            </w:r>
            <w:r>
              <w:rPr>
                <w:rFonts w:hint="eastAsia" w:ascii="彩虹粗仿宋" w:eastAsia="彩虹粗仿宋"/>
                <w:szCs w:val="21"/>
                <w:highlight w:val="none"/>
                <w:lang w:val="en-US" w:eastAsia="zh-CN"/>
              </w:rPr>
              <w:t>23</w:t>
            </w:r>
            <w:r>
              <w:rPr>
                <w:rFonts w:hint="eastAsia" w:ascii="彩虹粗仿宋" w:eastAsia="彩虹粗仿宋"/>
                <w:szCs w:val="21"/>
                <w:highlight w:val="none"/>
              </w:rPr>
              <w:t>日</w:t>
            </w:r>
          </w:p>
        </w:tc>
        <w:tc>
          <w:tcPr>
            <w:tcW w:w="876" w:type="pct"/>
            <w:vAlign w:val="center"/>
          </w:tcPr>
          <w:p w14:paraId="15621E40">
            <w:pPr>
              <w:autoSpaceDE w:val="0"/>
              <w:autoSpaceDN w:val="0"/>
              <w:adjustRightInd w:val="0"/>
              <w:jc w:val="center"/>
              <w:rPr>
                <w:rFonts w:hint="eastAsia" w:ascii="彩虹粗仿宋" w:eastAsia="彩虹粗仿宋"/>
                <w:szCs w:val="21"/>
                <w:lang w:val="en-US" w:eastAsia="zh-CN"/>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9</w:t>
            </w:r>
            <w:r>
              <w:rPr>
                <w:rFonts w:hint="eastAsia" w:ascii="彩虹粗仿宋" w:eastAsia="彩虹粗仿宋"/>
                <w:szCs w:val="21"/>
                <w:highlight w:val="none"/>
              </w:rPr>
              <w:t>月</w:t>
            </w:r>
            <w:r>
              <w:rPr>
                <w:rFonts w:hint="eastAsia" w:ascii="彩虹粗仿宋" w:eastAsia="彩虹粗仿宋"/>
                <w:szCs w:val="21"/>
                <w:highlight w:val="none"/>
                <w:lang w:val="en-US" w:eastAsia="zh-CN"/>
              </w:rPr>
              <w:t>23</w:t>
            </w:r>
            <w:r>
              <w:rPr>
                <w:rFonts w:hint="eastAsia" w:ascii="彩虹粗仿宋" w:eastAsia="彩虹粗仿宋"/>
                <w:szCs w:val="21"/>
                <w:highlight w:val="none"/>
              </w:rPr>
              <w:t>日</w:t>
            </w:r>
          </w:p>
        </w:tc>
      </w:tr>
      <w:tr w14:paraId="15CF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4" w:type="dxa"/>
            <w:vAlign w:val="center"/>
          </w:tcPr>
          <w:p w14:paraId="2ACE13BD">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lang w:val="en-US" w:eastAsia="zh-CN"/>
              </w:rPr>
              <w:t>建信理财嘉鑫（稳利）固收类按日开放式产品第93期</w:t>
            </w:r>
          </w:p>
        </w:tc>
        <w:tc>
          <w:tcPr>
            <w:tcW w:w="1044" w:type="pct"/>
            <w:vAlign w:val="center"/>
          </w:tcPr>
          <w:p w14:paraId="252072A3">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Z7000726001238</w:t>
            </w:r>
          </w:p>
        </w:tc>
        <w:tc>
          <w:tcPr>
            <w:tcW w:w="519" w:type="pct"/>
            <w:vAlign w:val="center"/>
          </w:tcPr>
          <w:p w14:paraId="4F9F9BD4">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0.2%</w:t>
            </w:r>
          </w:p>
        </w:tc>
        <w:tc>
          <w:tcPr>
            <w:tcW w:w="525" w:type="pct"/>
            <w:vAlign w:val="center"/>
          </w:tcPr>
          <w:p w14:paraId="51AB4327">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0.1%</w:t>
            </w:r>
          </w:p>
        </w:tc>
        <w:tc>
          <w:tcPr>
            <w:tcW w:w="1596" w:type="dxa"/>
            <w:vAlign w:val="center"/>
          </w:tcPr>
          <w:p w14:paraId="120FD14F">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6</w:t>
            </w:r>
            <w:r>
              <w:rPr>
                <w:rFonts w:hint="eastAsia" w:ascii="彩虹粗仿宋" w:eastAsia="彩虹粗仿宋"/>
                <w:szCs w:val="21"/>
                <w:highlight w:val="none"/>
              </w:rPr>
              <w:t>月</w:t>
            </w:r>
            <w:r>
              <w:rPr>
                <w:rFonts w:hint="eastAsia" w:ascii="彩虹粗仿宋" w:eastAsia="彩虹粗仿宋"/>
                <w:szCs w:val="21"/>
                <w:highlight w:val="none"/>
                <w:lang w:val="en-US" w:eastAsia="zh-CN"/>
              </w:rPr>
              <w:t>23</w:t>
            </w:r>
            <w:r>
              <w:rPr>
                <w:rFonts w:hint="eastAsia" w:ascii="彩虹粗仿宋" w:eastAsia="彩虹粗仿宋"/>
                <w:szCs w:val="21"/>
                <w:highlight w:val="none"/>
              </w:rPr>
              <w:t>日</w:t>
            </w:r>
          </w:p>
        </w:tc>
        <w:tc>
          <w:tcPr>
            <w:tcW w:w="1620" w:type="dxa"/>
            <w:shd w:val="clear" w:color="auto" w:fill="auto"/>
            <w:vAlign w:val="center"/>
          </w:tcPr>
          <w:p w14:paraId="715FCD6D">
            <w:pPr>
              <w:autoSpaceDE w:val="0"/>
              <w:autoSpaceDN w:val="0"/>
              <w:adjustRightInd w:val="0"/>
              <w:jc w:val="center"/>
              <w:rPr>
                <w:rFonts w:hint="eastAsia" w:ascii="彩虹粗仿宋" w:eastAsia="彩虹粗仿宋" w:hAnsiTheme="minorHAnsi" w:cstheme="minorBidi"/>
                <w:kern w:val="2"/>
                <w:sz w:val="21"/>
                <w:szCs w:val="21"/>
                <w:lang w:val="en-US" w:eastAsia="zh-CN" w:bidi="ar-SA"/>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9</w:t>
            </w:r>
            <w:r>
              <w:rPr>
                <w:rFonts w:hint="eastAsia" w:ascii="彩虹粗仿宋" w:eastAsia="彩虹粗仿宋"/>
                <w:szCs w:val="21"/>
                <w:highlight w:val="none"/>
              </w:rPr>
              <w:t>月</w:t>
            </w:r>
            <w:r>
              <w:rPr>
                <w:rFonts w:hint="eastAsia" w:ascii="彩虹粗仿宋" w:eastAsia="彩虹粗仿宋"/>
                <w:szCs w:val="21"/>
                <w:highlight w:val="none"/>
                <w:lang w:val="en-US" w:eastAsia="zh-CN"/>
              </w:rPr>
              <w:t>23</w:t>
            </w:r>
            <w:r>
              <w:rPr>
                <w:rFonts w:hint="eastAsia" w:ascii="彩虹粗仿宋" w:eastAsia="彩虹粗仿宋"/>
                <w:szCs w:val="21"/>
                <w:highlight w:val="none"/>
              </w:rPr>
              <w:t>日</w:t>
            </w:r>
          </w:p>
        </w:tc>
      </w:tr>
      <w:tr w14:paraId="5CEF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4" w:type="dxa"/>
            <w:vAlign w:val="center"/>
          </w:tcPr>
          <w:p w14:paraId="001C52C2">
            <w:pPr>
              <w:autoSpaceDE w:val="0"/>
              <w:autoSpaceDN w:val="0"/>
              <w:adjustRightInd w:val="0"/>
              <w:jc w:val="center"/>
              <w:rPr>
                <w:rFonts w:hint="eastAsia" w:ascii="彩虹粗仿宋" w:eastAsia="彩虹粗仿宋"/>
                <w:szCs w:val="21"/>
                <w:highlight w:val="none"/>
                <w:lang w:val="en-US" w:eastAsia="zh-CN"/>
              </w:rPr>
            </w:pPr>
            <w:r>
              <w:rPr>
                <w:rFonts w:hint="eastAsia" w:ascii="彩虹粗仿宋" w:eastAsia="彩虹粗仿宋"/>
                <w:szCs w:val="21"/>
                <w:highlight w:val="none"/>
                <w:lang w:val="en-US" w:eastAsia="zh-CN"/>
              </w:rPr>
              <w:t>建信理财龙鑫（长利）固收类最低持有360天产品第4期</w:t>
            </w:r>
          </w:p>
        </w:tc>
        <w:tc>
          <w:tcPr>
            <w:tcW w:w="1044" w:type="pct"/>
            <w:vAlign w:val="center"/>
          </w:tcPr>
          <w:p w14:paraId="7129FAF6">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Z7000726000355</w:t>
            </w:r>
          </w:p>
        </w:tc>
        <w:tc>
          <w:tcPr>
            <w:tcW w:w="519" w:type="pct"/>
            <w:vAlign w:val="center"/>
          </w:tcPr>
          <w:p w14:paraId="518E0C65">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0.2%</w:t>
            </w:r>
          </w:p>
        </w:tc>
        <w:tc>
          <w:tcPr>
            <w:tcW w:w="525" w:type="pct"/>
            <w:vAlign w:val="center"/>
          </w:tcPr>
          <w:p w14:paraId="5F63101C">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0.1%</w:t>
            </w:r>
          </w:p>
        </w:tc>
        <w:tc>
          <w:tcPr>
            <w:tcW w:w="1596" w:type="dxa"/>
            <w:vAlign w:val="center"/>
          </w:tcPr>
          <w:p w14:paraId="0364E72B">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6</w:t>
            </w:r>
            <w:r>
              <w:rPr>
                <w:rFonts w:hint="eastAsia" w:ascii="彩虹粗仿宋" w:eastAsia="彩虹粗仿宋"/>
                <w:szCs w:val="21"/>
                <w:highlight w:val="none"/>
              </w:rPr>
              <w:t>月</w:t>
            </w:r>
            <w:r>
              <w:rPr>
                <w:rFonts w:hint="eastAsia" w:ascii="彩虹粗仿宋" w:eastAsia="彩虹粗仿宋"/>
                <w:szCs w:val="21"/>
                <w:highlight w:val="none"/>
                <w:lang w:val="en-US" w:eastAsia="zh-CN"/>
              </w:rPr>
              <w:t>23</w:t>
            </w:r>
            <w:r>
              <w:rPr>
                <w:rFonts w:hint="eastAsia" w:ascii="彩虹粗仿宋" w:eastAsia="彩虹粗仿宋"/>
                <w:szCs w:val="21"/>
                <w:highlight w:val="none"/>
              </w:rPr>
              <w:t>日</w:t>
            </w:r>
          </w:p>
        </w:tc>
        <w:tc>
          <w:tcPr>
            <w:tcW w:w="1620" w:type="dxa"/>
            <w:shd w:val="clear" w:color="auto" w:fill="auto"/>
            <w:vAlign w:val="center"/>
          </w:tcPr>
          <w:p w14:paraId="63D03444">
            <w:pPr>
              <w:autoSpaceDE w:val="0"/>
              <w:autoSpaceDN w:val="0"/>
              <w:adjustRightInd w:val="0"/>
              <w:jc w:val="center"/>
              <w:rPr>
                <w:rFonts w:hint="eastAsia" w:ascii="彩虹粗仿宋" w:eastAsia="彩虹粗仿宋"/>
                <w:szCs w:val="21"/>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9</w:t>
            </w:r>
            <w:r>
              <w:rPr>
                <w:rFonts w:hint="eastAsia" w:ascii="彩虹粗仿宋" w:eastAsia="彩虹粗仿宋"/>
                <w:szCs w:val="21"/>
                <w:highlight w:val="none"/>
              </w:rPr>
              <w:t>月</w:t>
            </w:r>
            <w:r>
              <w:rPr>
                <w:rFonts w:hint="eastAsia" w:ascii="彩虹粗仿宋" w:eastAsia="彩虹粗仿宋"/>
                <w:szCs w:val="21"/>
                <w:highlight w:val="none"/>
                <w:lang w:val="en-US" w:eastAsia="zh-CN"/>
              </w:rPr>
              <w:t>23</w:t>
            </w:r>
            <w:r>
              <w:rPr>
                <w:rFonts w:hint="eastAsia" w:ascii="彩虹粗仿宋" w:eastAsia="彩虹粗仿宋"/>
                <w:szCs w:val="21"/>
                <w:highlight w:val="none"/>
              </w:rPr>
              <w:t>日</w:t>
            </w:r>
          </w:p>
        </w:tc>
      </w:tr>
      <w:tr w14:paraId="6669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4" w:type="dxa"/>
            <w:vAlign w:val="center"/>
          </w:tcPr>
          <w:p w14:paraId="522351D4">
            <w:pPr>
              <w:autoSpaceDE w:val="0"/>
              <w:autoSpaceDN w:val="0"/>
              <w:adjustRightInd w:val="0"/>
              <w:jc w:val="center"/>
              <w:rPr>
                <w:rFonts w:hint="eastAsia" w:ascii="彩虹粗仿宋" w:eastAsia="彩虹粗仿宋"/>
                <w:szCs w:val="21"/>
                <w:highlight w:val="none"/>
                <w:lang w:val="en-US" w:eastAsia="zh-CN"/>
              </w:rPr>
            </w:pPr>
            <w:r>
              <w:rPr>
                <w:rFonts w:hint="eastAsia" w:ascii="彩虹粗仿宋" w:eastAsia="彩虹粗仿宋"/>
                <w:szCs w:val="21"/>
                <w:highlight w:val="none"/>
                <w:lang w:val="en-US" w:eastAsia="zh-CN"/>
              </w:rPr>
              <w:t>建信理财龙鑫（基础设施优选）固收类最低持有1年产品第2期</w:t>
            </w:r>
          </w:p>
        </w:tc>
        <w:tc>
          <w:tcPr>
            <w:tcW w:w="1044" w:type="pct"/>
            <w:vAlign w:val="center"/>
          </w:tcPr>
          <w:p w14:paraId="4AB01E5E">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Z7000726001193</w:t>
            </w:r>
          </w:p>
        </w:tc>
        <w:tc>
          <w:tcPr>
            <w:tcW w:w="961" w:type="dxa"/>
            <w:vAlign w:val="center"/>
          </w:tcPr>
          <w:p w14:paraId="30C1CE49">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0.2%</w:t>
            </w:r>
          </w:p>
        </w:tc>
        <w:tc>
          <w:tcPr>
            <w:tcW w:w="972" w:type="dxa"/>
            <w:vAlign w:val="center"/>
          </w:tcPr>
          <w:p w14:paraId="7B4C365E">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0.1%</w:t>
            </w:r>
          </w:p>
        </w:tc>
        <w:tc>
          <w:tcPr>
            <w:tcW w:w="1596" w:type="dxa"/>
            <w:vAlign w:val="center"/>
          </w:tcPr>
          <w:p w14:paraId="6CE6046A">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6</w:t>
            </w:r>
            <w:r>
              <w:rPr>
                <w:rFonts w:hint="eastAsia" w:ascii="彩虹粗仿宋" w:eastAsia="彩虹粗仿宋"/>
                <w:szCs w:val="21"/>
                <w:highlight w:val="none"/>
              </w:rPr>
              <w:t>月</w:t>
            </w:r>
            <w:r>
              <w:rPr>
                <w:rFonts w:hint="eastAsia" w:ascii="彩虹粗仿宋" w:eastAsia="彩虹粗仿宋"/>
                <w:szCs w:val="21"/>
                <w:highlight w:val="none"/>
                <w:lang w:val="en-US" w:eastAsia="zh-CN"/>
              </w:rPr>
              <w:t>23</w:t>
            </w:r>
            <w:r>
              <w:rPr>
                <w:rFonts w:hint="eastAsia" w:ascii="彩虹粗仿宋" w:eastAsia="彩虹粗仿宋"/>
                <w:szCs w:val="21"/>
                <w:highlight w:val="none"/>
              </w:rPr>
              <w:t>日</w:t>
            </w:r>
          </w:p>
        </w:tc>
        <w:tc>
          <w:tcPr>
            <w:tcW w:w="1620" w:type="dxa"/>
            <w:shd w:val="clear" w:color="auto" w:fill="auto"/>
            <w:vAlign w:val="center"/>
          </w:tcPr>
          <w:p w14:paraId="2ADD9249">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9</w:t>
            </w:r>
            <w:r>
              <w:rPr>
                <w:rFonts w:hint="eastAsia" w:ascii="彩虹粗仿宋" w:eastAsia="彩虹粗仿宋"/>
                <w:szCs w:val="21"/>
                <w:highlight w:val="none"/>
              </w:rPr>
              <w:t>月</w:t>
            </w:r>
            <w:r>
              <w:rPr>
                <w:rFonts w:hint="eastAsia" w:ascii="彩虹粗仿宋" w:eastAsia="彩虹粗仿宋"/>
                <w:szCs w:val="21"/>
                <w:highlight w:val="none"/>
                <w:lang w:val="en-US" w:eastAsia="zh-CN"/>
              </w:rPr>
              <w:t>23</w:t>
            </w:r>
            <w:r>
              <w:rPr>
                <w:rFonts w:hint="eastAsia" w:ascii="彩虹粗仿宋" w:eastAsia="彩虹粗仿宋"/>
                <w:szCs w:val="21"/>
                <w:highlight w:val="none"/>
              </w:rPr>
              <w:t>日</w:t>
            </w:r>
          </w:p>
        </w:tc>
      </w:tr>
    </w:tbl>
    <w:p w14:paraId="79D02F23">
      <w:pPr>
        <w:pStyle w:val="4"/>
        <w:spacing w:before="405" w:beforeLines="130" w:beforeAutospacing="0" w:after="0" w:afterAutospacing="0" w:line="360" w:lineRule="auto"/>
        <w:ind w:firstLine="640" w:firstLineChars="200"/>
        <w:rPr>
          <w:rFonts w:hint="default" w:ascii="彩虹粗仿宋" w:hAnsi="微软雅黑" w:eastAsia="彩虹粗仿宋"/>
          <w:color w:val="333333"/>
          <w:sz w:val="32"/>
          <w:szCs w:val="32"/>
          <w:lang w:val="en-US" w:eastAsia="zh-CN"/>
        </w:rPr>
      </w:pPr>
      <w:r>
        <w:rPr>
          <w:rFonts w:hint="eastAsia" w:ascii="彩虹粗仿宋" w:hAnsi="微软雅黑" w:eastAsia="彩虹粗仿宋"/>
          <w:color w:val="333333"/>
          <w:sz w:val="32"/>
          <w:szCs w:val="32"/>
          <w:lang w:val="en-US" w:eastAsia="zh-CN"/>
        </w:rPr>
        <w:t>二、销售费率</w:t>
      </w:r>
    </w:p>
    <w:tbl>
      <w:tblPr>
        <w:tblStyle w:val="6"/>
        <w:tblW w:w="54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1931"/>
        <w:gridCol w:w="961"/>
        <w:gridCol w:w="972"/>
        <w:gridCol w:w="1596"/>
        <w:gridCol w:w="1620"/>
      </w:tblGrid>
      <w:tr w14:paraId="3327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restart"/>
            <w:vAlign w:val="center"/>
          </w:tcPr>
          <w:p w14:paraId="7251B8DB">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产品名称</w:t>
            </w:r>
          </w:p>
        </w:tc>
        <w:tc>
          <w:tcPr>
            <w:tcW w:w="1044" w:type="pct"/>
            <w:vMerge w:val="restart"/>
            <w:vAlign w:val="center"/>
          </w:tcPr>
          <w:p w14:paraId="0A02F5F6">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全国银行业理财信息登记系统编号</w:t>
            </w:r>
          </w:p>
        </w:tc>
        <w:tc>
          <w:tcPr>
            <w:tcW w:w="1045" w:type="pct"/>
            <w:gridSpan w:val="2"/>
            <w:vAlign w:val="center"/>
          </w:tcPr>
          <w:p w14:paraId="1FA86BB9">
            <w:pPr>
              <w:autoSpaceDE w:val="0"/>
              <w:autoSpaceDN w:val="0"/>
              <w:adjustRightInd w:val="0"/>
              <w:jc w:val="center"/>
              <w:rPr>
                <w:rFonts w:ascii="彩虹粗仿宋" w:eastAsia="彩虹粗仿宋"/>
                <w:szCs w:val="21"/>
              </w:rPr>
            </w:pPr>
            <w:r>
              <w:rPr>
                <w:rFonts w:hint="eastAsia" w:ascii="彩虹粗仿宋" w:eastAsia="彩虹粗仿宋"/>
                <w:szCs w:val="21"/>
                <w:lang w:val="en-US" w:eastAsia="zh-CN"/>
              </w:rPr>
              <w:t>销售</w:t>
            </w:r>
            <w:r>
              <w:rPr>
                <w:rFonts w:hint="eastAsia" w:ascii="彩虹粗仿宋" w:eastAsia="彩虹粗仿宋"/>
                <w:szCs w:val="21"/>
              </w:rPr>
              <w:t>费率（年化）</w:t>
            </w:r>
          </w:p>
        </w:tc>
        <w:tc>
          <w:tcPr>
            <w:tcW w:w="863" w:type="pct"/>
            <w:vMerge w:val="restart"/>
            <w:vAlign w:val="center"/>
          </w:tcPr>
          <w:p w14:paraId="59891AE4">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优惠起始日（含）</w:t>
            </w:r>
          </w:p>
        </w:tc>
        <w:tc>
          <w:tcPr>
            <w:tcW w:w="876" w:type="pct"/>
            <w:vMerge w:val="restart"/>
            <w:vAlign w:val="center"/>
          </w:tcPr>
          <w:p w14:paraId="4E5CC0DA">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优惠结束日（含）</w:t>
            </w:r>
          </w:p>
        </w:tc>
      </w:tr>
      <w:tr w14:paraId="3F14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continue"/>
            <w:vAlign w:val="center"/>
          </w:tcPr>
          <w:p w14:paraId="2C5407FB">
            <w:pPr>
              <w:autoSpaceDE w:val="0"/>
              <w:autoSpaceDN w:val="0"/>
              <w:adjustRightInd w:val="0"/>
              <w:jc w:val="center"/>
            </w:pPr>
          </w:p>
        </w:tc>
        <w:tc>
          <w:tcPr>
            <w:tcW w:w="1044" w:type="pct"/>
            <w:vMerge w:val="continue"/>
            <w:vAlign w:val="center"/>
          </w:tcPr>
          <w:p w14:paraId="183F2C2C">
            <w:pPr>
              <w:autoSpaceDE w:val="0"/>
              <w:autoSpaceDN w:val="0"/>
              <w:adjustRightInd w:val="0"/>
              <w:jc w:val="center"/>
            </w:pPr>
          </w:p>
        </w:tc>
        <w:tc>
          <w:tcPr>
            <w:tcW w:w="519" w:type="pct"/>
            <w:vAlign w:val="center"/>
          </w:tcPr>
          <w:p w14:paraId="4F0E6CEC">
            <w:pPr>
              <w:autoSpaceDE w:val="0"/>
              <w:autoSpaceDN w:val="0"/>
              <w:adjustRightInd w:val="0"/>
              <w:jc w:val="center"/>
              <w:rPr>
                <w:rFonts w:ascii="彩虹粗仿宋" w:eastAsia="彩虹粗仿宋"/>
                <w:szCs w:val="21"/>
              </w:rPr>
            </w:pPr>
            <w:r>
              <w:rPr>
                <w:rFonts w:hint="eastAsia" w:ascii="彩虹粗仿宋" w:eastAsia="彩虹粗仿宋"/>
                <w:szCs w:val="21"/>
              </w:rPr>
              <w:t>优惠前</w:t>
            </w:r>
          </w:p>
        </w:tc>
        <w:tc>
          <w:tcPr>
            <w:tcW w:w="525" w:type="pct"/>
            <w:vAlign w:val="center"/>
          </w:tcPr>
          <w:p w14:paraId="07C813EF">
            <w:pPr>
              <w:autoSpaceDE w:val="0"/>
              <w:autoSpaceDN w:val="0"/>
              <w:adjustRightInd w:val="0"/>
              <w:jc w:val="center"/>
              <w:rPr>
                <w:rFonts w:ascii="彩虹粗仿宋" w:eastAsia="彩虹粗仿宋"/>
                <w:szCs w:val="21"/>
              </w:rPr>
            </w:pPr>
            <w:r>
              <w:rPr>
                <w:rFonts w:hint="eastAsia" w:ascii="彩虹粗仿宋" w:eastAsia="彩虹粗仿宋"/>
                <w:szCs w:val="21"/>
              </w:rPr>
              <w:t>优惠后</w:t>
            </w:r>
          </w:p>
        </w:tc>
        <w:tc>
          <w:tcPr>
            <w:tcW w:w="863" w:type="pct"/>
            <w:vMerge w:val="continue"/>
            <w:vAlign w:val="center"/>
          </w:tcPr>
          <w:p w14:paraId="28BFB263">
            <w:pPr>
              <w:autoSpaceDE w:val="0"/>
              <w:autoSpaceDN w:val="0"/>
              <w:adjustRightInd w:val="0"/>
              <w:jc w:val="center"/>
              <w:rPr>
                <w:rFonts w:ascii="彩虹粗仿宋" w:eastAsia="彩虹粗仿宋"/>
                <w:szCs w:val="21"/>
              </w:rPr>
            </w:pPr>
          </w:p>
        </w:tc>
        <w:tc>
          <w:tcPr>
            <w:tcW w:w="876" w:type="pct"/>
            <w:vMerge w:val="continue"/>
            <w:vAlign w:val="center"/>
          </w:tcPr>
          <w:p w14:paraId="3D97281C">
            <w:pPr>
              <w:autoSpaceDE w:val="0"/>
              <w:autoSpaceDN w:val="0"/>
              <w:adjustRightInd w:val="0"/>
              <w:jc w:val="center"/>
              <w:rPr>
                <w:rFonts w:ascii="彩虹粗仿宋" w:eastAsia="彩虹粗仿宋"/>
                <w:szCs w:val="21"/>
              </w:rPr>
            </w:pPr>
          </w:p>
        </w:tc>
      </w:tr>
      <w:tr w14:paraId="35CF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4" w:type="dxa"/>
            <w:vAlign w:val="center"/>
          </w:tcPr>
          <w:p w14:paraId="7C9A2424">
            <w:pPr>
              <w:autoSpaceDE w:val="0"/>
              <w:autoSpaceDN w:val="0"/>
              <w:adjustRightInd w:val="0"/>
              <w:jc w:val="center"/>
              <w:rPr>
                <w:rFonts w:ascii="彩虹粗仿宋" w:eastAsia="彩虹粗仿宋"/>
                <w:szCs w:val="21"/>
              </w:rPr>
            </w:pPr>
            <w:r>
              <w:rPr>
                <w:rFonts w:hint="eastAsia" w:ascii="彩虹粗仿宋" w:eastAsia="彩虹粗仿宋"/>
                <w:szCs w:val="21"/>
                <w:highlight w:val="none"/>
                <w:lang w:val="en-US" w:eastAsia="zh-CN"/>
              </w:rPr>
              <w:t>建信理财龙鑫（行业优选）固收类最低持有180天产品第1期</w:t>
            </w:r>
          </w:p>
        </w:tc>
        <w:tc>
          <w:tcPr>
            <w:tcW w:w="1931" w:type="dxa"/>
            <w:vAlign w:val="center"/>
          </w:tcPr>
          <w:p w14:paraId="7F15ED4F">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Z7000726001248</w:t>
            </w:r>
          </w:p>
        </w:tc>
        <w:tc>
          <w:tcPr>
            <w:tcW w:w="519" w:type="pct"/>
            <w:vAlign w:val="center"/>
          </w:tcPr>
          <w:p w14:paraId="3C23941A">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0.15%</w:t>
            </w:r>
          </w:p>
        </w:tc>
        <w:tc>
          <w:tcPr>
            <w:tcW w:w="525" w:type="pct"/>
            <w:vAlign w:val="center"/>
          </w:tcPr>
          <w:p w14:paraId="68AE7E74">
            <w:pPr>
              <w:autoSpaceDE w:val="0"/>
              <w:autoSpaceDN w:val="0"/>
              <w:adjustRightInd w:val="0"/>
              <w:jc w:val="center"/>
              <w:rPr>
                <w:rFonts w:hint="default" w:ascii="彩虹粗仿宋" w:eastAsia="彩虹粗仿宋"/>
                <w:szCs w:val="21"/>
                <w:highlight w:val="none"/>
                <w:lang w:val="en-US" w:eastAsia="zh-CN"/>
              </w:rPr>
            </w:pPr>
            <w:r>
              <w:rPr>
                <w:rFonts w:hint="eastAsia" w:ascii="彩虹粗仿宋" w:eastAsia="彩虹粗仿宋"/>
                <w:szCs w:val="21"/>
                <w:highlight w:val="none"/>
                <w:lang w:val="en-US" w:eastAsia="zh-CN"/>
              </w:rPr>
              <w:t>0.1%</w:t>
            </w:r>
          </w:p>
        </w:tc>
        <w:tc>
          <w:tcPr>
            <w:tcW w:w="1596" w:type="dxa"/>
            <w:vAlign w:val="center"/>
          </w:tcPr>
          <w:p w14:paraId="4CEA3DBF">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6</w:t>
            </w:r>
            <w:r>
              <w:rPr>
                <w:rFonts w:hint="eastAsia" w:ascii="彩虹粗仿宋" w:eastAsia="彩虹粗仿宋"/>
                <w:szCs w:val="21"/>
                <w:highlight w:val="none"/>
              </w:rPr>
              <w:t>月</w:t>
            </w:r>
            <w:r>
              <w:rPr>
                <w:rFonts w:hint="eastAsia" w:ascii="彩虹粗仿宋" w:eastAsia="彩虹粗仿宋"/>
                <w:szCs w:val="21"/>
                <w:highlight w:val="none"/>
                <w:lang w:val="en-US" w:eastAsia="zh-CN"/>
              </w:rPr>
              <w:t>23</w:t>
            </w:r>
            <w:r>
              <w:rPr>
                <w:rFonts w:hint="eastAsia" w:ascii="彩虹粗仿宋" w:eastAsia="彩虹粗仿宋"/>
                <w:szCs w:val="21"/>
                <w:highlight w:val="none"/>
              </w:rPr>
              <w:t>日</w:t>
            </w:r>
          </w:p>
        </w:tc>
        <w:tc>
          <w:tcPr>
            <w:tcW w:w="1620" w:type="dxa"/>
            <w:vAlign w:val="center"/>
          </w:tcPr>
          <w:p w14:paraId="11AB1827">
            <w:pPr>
              <w:autoSpaceDE w:val="0"/>
              <w:autoSpaceDN w:val="0"/>
              <w:adjustRightInd w:val="0"/>
              <w:jc w:val="center"/>
              <w:rPr>
                <w:rFonts w:hint="eastAsia" w:ascii="彩虹粗仿宋" w:eastAsia="彩虹粗仿宋"/>
                <w:szCs w:val="21"/>
                <w:lang w:val="en-US" w:eastAsia="zh-CN"/>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9</w:t>
            </w:r>
            <w:r>
              <w:rPr>
                <w:rFonts w:hint="eastAsia" w:ascii="彩虹粗仿宋" w:eastAsia="彩虹粗仿宋"/>
                <w:szCs w:val="21"/>
                <w:highlight w:val="none"/>
              </w:rPr>
              <w:t>月</w:t>
            </w:r>
            <w:r>
              <w:rPr>
                <w:rFonts w:hint="eastAsia" w:ascii="彩虹粗仿宋" w:eastAsia="彩虹粗仿宋"/>
                <w:szCs w:val="21"/>
                <w:highlight w:val="none"/>
                <w:lang w:val="en-US" w:eastAsia="zh-CN"/>
              </w:rPr>
              <w:t>23</w:t>
            </w:r>
            <w:r>
              <w:rPr>
                <w:rFonts w:hint="eastAsia" w:ascii="彩虹粗仿宋" w:eastAsia="彩虹粗仿宋"/>
                <w:szCs w:val="21"/>
                <w:highlight w:val="none"/>
              </w:rPr>
              <w:t>日</w:t>
            </w:r>
          </w:p>
        </w:tc>
      </w:tr>
      <w:tr w14:paraId="4E39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4" w:type="dxa"/>
            <w:vAlign w:val="center"/>
          </w:tcPr>
          <w:p w14:paraId="093669E2">
            <w:pPr>
              <w:autoSpaceDE w:val="0"/>
              <w:autoSpaceDN w:val="0"/>
              <w:adjustRightInd w:val="0"/>
              <w:jc w:val="center"/>
              <w:rPr>
                <w:rFonts w:hint="eastAsia" w:ascii="彩虹粗仿宋" w:eastAsia="彩虹粗仿宋"/>
                <w:szCs w:val="21"/>
              </w:rPr>
            </w:pPr>
            <w:r>
              <w:rPr>
                <w:rFonts w:hint="eastAsia" w:ascii="彩虹粗仿宋" w:eastAsia="彩虹粗仿宋"/>
                <w:szCs w:val="21"/>
                <w:highlight w:val="none"/>
                <w:lang w:val="en-US" w:eastAsia="zh-CN"/>
              </w:rPr>
              <w:t>建信理财嘉鑫（稳利）固收类按日开放式产品第93期</w:t>
            </w:r>
          </w:p>
        </w:tc>
        <w:tc>
          <w:tcPr>
            <w:tcW w:w="1931" w:type="dxa"/>
            <w:vAlign w:val="center"/>
          </w:tcPr>
          <w:p w14:paraId="3F6978B3">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Z7000726001238</w:t>
            </w:r>
          </w:p>
        </w:tc>
        <w:tc>
          <w:tcPr>
            <w:tcW w:w="961" w:type="dxa"/>
            <w:vAlign w:val="center"/>
          </w:tcPr>
          <w:p w14:paraId="3272B628">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0.15%</w:t>
            </w:r>
          </w:p>
        </w:tc>
        <w:tc>
          <w:tcPr>
            <w:tcW w:w="972" w:type="dxa"/>
            <w:vAlign w:val="center"/>
          </w:tcPr>
          <w:p w14:paraId="5401732D">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lang w:val="en-US" w:eastAsia="zh-CN"/>
              </w:rPr>
              <w:t>0.1%</w:t>
            </w:r>
          </w:p>
        </w:tc>
        <w:tc>
          <w:tcPr>
            <w:tcW w:w="1596" w:type="dxa"/>
            <w:shd w:val="clear" w:color="auto" w:fill="auto"/>
            <w:vAlign w:val="center"/>
          </w:tcPr>
          <w:p w14:paraId="633BCA9A">
            <w:pPr>
              <w:autoSpaceDE w:val="0"/>
              <w:autoSpaceDN w:val="0"/>
              <w:adjustRightInd w:val="0"/>
              <w:jc w:val="center"/>
              <w:rPr>
                <w:rFonts w:hint="eastAsia" w:ascii="彩虹粗仿宋" w:eastAsia="彩虹粗仿宋" w:hAnsiTheme="minorHAnsi" w:cstheme="minorBidi"/>
                <w:kern w:val="2"/>
                <w:sz w:val="21"/>
                <w:szCs w:val="21"/>
                <w:highlight w:val="none"/>
                <w:lang w:val="en-US" w:eastAsia="zh-CN" w:bidi="ar-SA"/>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6</w:t>
            </w:r>
            <w:r>
              <w:rPr>
                <w:rFonts w:hint="eastAsia" w:ascii="彩虹粗仿宋" w:eastAsia="彩虹粗仿宋"/>
                <w:szCs w:val="21"/>
                <w:highlight w:val="none"/>
              </w:rPr>
              <w:t>月</w:t>
            </w:r>
            <w:r>
              <w:rPr>
                <w:rFonts w:hint="eastAsia" w:ascii="彩虹粗仿宋" w:eastAsia="彩虹粗仿宋"/>
                <w:szCs w:val="21"/>
                <w:highlight w:val="none"/>
                <w:lang w:val="en-US" w:eastAsia="zh-CN"/>
              </w:rPr>
              <w:t>23</w:t>
            </w:r>
            <w:r>
              <w:rPr>
                <w:rFonts w:hint="eastAsia" w:ascii="彩虹粗仿宋" w:eastAsia="彩虹粗仿宋"/>
                <w:szCs w:val="21"/>
                <w:highlight w:val="none"/>
              </w:rPr>
              <w:t>日</w:t>
            </w:r>
          </w:p>
        </w:tc>
        <w:tc>
          <w:tcPr>
            <w:tcW w:w="1620" w:type="dxa"/>
            <w:vAlign w:val="center"/>
          </w:tcPr>
          <w:p w14:paraId="4C4FC360">
            <w:pPr>
              <w:autoSpaceDE w:val="0"/>
              <w:autoSpaceDN w:val="0"/>
              <w:adjustRightInd w:val="0"/>
              <w:jc w:val="center"/>
              <w:rPr>
                <w:rFonts w:hint="eastAsia" w:ascii="彩虹粗仿宋" w:eastAsia="彩虹粗仿宋"/>
                <w:szCs w:val="21"/>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9</w:t>
            </w:r>
            <w:r>
              <w:rPr>
                <w:rFonts w:hint="eastAsia" w:ascii="彩虹粗仿宋" w:eastAsia="彩虹粗仿宋"/>
                <w:szCs w:val="21"/>
                <w:highlight w:val="none"/>
              </w:rPr>
              <w:t>月</w:t>
            </w:r>
            <w:r>
              <w:rPr>
                <w:rFonts w:hint="eastAsia" w:ascii="彩虹粗仿宋" w:eastAsia="彩虹粗仿宋"/>
                <w:szCs w:val="21"/>
                <w:highlight w:val="none"/>
                <w:lang w:val="en-US" w:eastAsia="zh-CN"/>
              </w:rPr>
              <w:t>23</w:t>
            </w:r>
            <w:r>
              <w:rPr>
                <w:rFonts w:hint="eastAsia" w:ascii="彩虹粗仿宋" w:eastAsia="彩虹粗仿宋"/>
                <w:szCs w:val="21"/>
                <w:highlight w:val="none"/>
              </w:rPr>
              <w:t>日</w:t>
            </w:r>
          </w:p>
        </w:tc>
      </w:tr>
      <w:tr w14:paraId="6513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4" w:type="dxa"/>
            <w:vAlign w:val="center"/>
          </w:tcPr>
          <w:p w14:paraId="17FAC244">
            <w:pPr>
              <w:autoSpaceDE w:val="0"/>
              <w:autoSpaceDN w:val="0"/>
              <w:adjustRightInd w:val="0"/>
              <w:jc w:val="center"/>
              <w:rPr>
                <w:rFonts w:hint="eastAsia" w:ascii="彩虹粗仿宋" w:eastAsia="彩虹粗仿宋"/>
                <w:szCs w:val="21"/>
                <w:highlight w:val="none"/>
                <w:lang w:val="en-US" w:eastAsia="zh-CN"/>
              </w:rPr>
            </w:pPr>
            <w:r>
              <w:rPr>
                <w:rFonts w:hint="eastAsia" w:ascii="彩虹粗仿宋" w:eastAsia="彩虹粗仿宋"/>
                <w:szCs w:val="21"/>
                <w:highlight w:val="none"/>
                <w:lang w:val="en-US" w:eastAsia="zh-CN"/>
              </w:rPr>
              <w:t>建信理财龙鑫（长利）固收类最低持有360天产品第4期</w:t>
            </w:r>
          </w:p>
        </w:tc>
        <w:tc>
          <w:tcPr>
            <w:tcW w:w="1931" w:type="dxa"/>
            <w:vAlign w:val="center"/>
          </w:tcPr>
          <w:p w14:paraId="72C9C22D">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Z7000726000355</w:t>
            </w:r>
          </w:p>
        </w:tc>
        <w:tc>
          <w:tcPr>
            <w:tcW w:w="961" w:type="dxa"/>
            <w:vAlign w:val="center"/>
          </w:tcPr>
          <w:p w14:paraId="1FDC90AF">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0.15%</w:t>
            </w:r>
          </w:p>
        </w:tc>
        <w:tc>
          <w:tcPr>
            <w:tcW w:w="972" w:type="dxa"/>
            <w:vAlign w:val="center"/>
          </w:tcPr>
          <w:p w14:paraId="15475C71">
            <w:pPr>
              <w:autoSpaceDE w:val="0"/>
              <w:autoSpaceDN w:val="0"/>
              <w:adjustRightInd w:val="0"/>
              <w:jc w:val="center"/>
              <w:rPr>
                <w:rFonts w:hint="eastAsia" w:ascii="彩虹粗仿宋" w:eastAsia="彩虹粗仿宋"/>
                <w:szCs w:val="21"/>
                <w:highlight w:val="none"/>
                <w:lang w:val="en-US" w:eastAsia="zh-CN"/>
              </w:rPr>
            </w:pPr>
            <w:r>
              <w:rPr>
                <w:rFonts w:hint="eastAsia" w:ascii="彩虹粗仿宋" w:eastAsia="彩虹粗仿宋"/>
                <w:szCs w:val="21"/>
                <w:highlight w:val="none"/>
                <w:lang w:val="en-US" w:eastAsia="zh-CN"/>
              </w:rPr>
              <w:t>0.1%</w:t>
            </w:r>
          </w:p>
        </w:tc>
        <w:tc>
          <w:tcPr>
            <w:tcW w:w="1596" w:type="dxa"/>
            <w:shd w:val="clear" w:color="auto" w:fill="auto"/>
            <w:vAlign w:val="center"/>
          </w:tcPr>
          <w:p w14:paraId="511F1F7A">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6</w:t>
            </w:r>
            <w:r>
              <w:rPr>
                <w:rFonts w:hint="eastAsia" w:ascii="彩虹粗仿宋" w:eastAsia="彩虹粗仿宋"/>
                <w:szCs w:val="21"/>
                <w:highlight w:val="none"/>
              </w:rPr>
              <w:t>月</w:t>
            </w:r>
            <w:r>
              <w:rPr>
                <w:rFonts w:hint="eastAsia" w:ascii="彩虹粗仿宋" w:eastAsia="彩虹粗仿宋"/>
                <w:szCs w:val="21"/>
                <w:highlight w:val="none"/>
                <w:lang w:val="en-US" w:eastAsia="zh-CN"/>
              </w:rPr>
              <w:t>23</w:t>
            </w:r>
            <w:r>
              <w:rPr>
                <w:rFonts w:hint="eastAsia" w:ascii="彩虹粗仿宋" w:eastAsia="彩虹粗仿宋"/>
                <w:szCs w:val="21"/>
                <w:highlight w:val="none"/>
              </w:rPr>
              <w:t>日</w:t>
            </w:r>
          </w:p>
        </w:tc>
        <w:tc>
          <w:tcPr>
            <w:tcW w:w="1620" w:type="dxa"/>
            <w:vAlign w:val="center"/>
          </w:tcPr>
          <w:p w14:paraId="1F998423">
            <w:pPr>
              <w:autoSpaceDE w:val="0"/>
              <w:autoSpaceDN w:val="0"/>
              <w:adjustRightInd w:val="0"/>
              <w:jc w:val="center"/>
              <w:rPr>
                <w:rFonts w:hint="eastAsia" w:ascii="彩虹粗仿宋" w:eastAsia="彩虹粗仿宋"/>
                <w:szCs w:val="21"/>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9</w:t>
            </w:r>
            <w:r>
              <w:rPr>
                <w:rFonts w:hint="eastAsia" w:ascii="彩虹粗仿宋" w:eastAsia="彩虹粗仿宋"/>
                <w:szCs w:val="21"/>
                <w:highlight w:val="none"/>
              </w:rPr>
              <w:t>月</w:t>
            </w:r>
            <w:r>
              <w:rPr>
                <w:rFonts w:hint="eastAsia" w:ascii="彩虹粗仿宋" w:eastAsia="彩虹粗仿宋"/>
                <w:szCs w:val="21"/>
                <w:highlight w:val="none"/>
                <w:lang w:val="en-US" w:eastAsia="zh-CN"/>
              </w:rPr>
              <w:t>23</w:t>
            </w:r>
            <w:r>
              <w:rPr>
                <w:rFonts w:hint="eastAsia" w:ascii="彩虹粗仿宋" w:eastAsia="彩虹粗仿宋"/>
                <w:szCs w:val="21"/>
                <w:highlight w:val="none"/>
              </w:rPr>
              <w:t>日</w:t>
            </w:r>
          </w:p>
        </w:tc>
      </w:tr>
      <w:tr w14:paraId="36B5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4" w:type="dxa"/>
            <w:vAlign w:val="center"/>
          </w:tcPr>
          <w:p w14:paraId="55C79DA6">
            <w:pPr>
              <w:autoSpaceDE w:val="0"/>
              <w:autoSpaceDN w:val="0"/>
              <w:adjustRightInd w:val="0"/>
              <w:jc w:val="center"/>
              <w:rPr>
                <w:rFonts w:hint="eastAsia" w:ascii="彩虹粗仿宋" w:eastAsia="彩虹粗仿宋"/>
                <w:szCs w:val="21"/>
                <w:highlight w:val="none"/>
                <w:lang w:val="en-US" w:eastAsia="zh-CN"/>
              </w:rPr>
            </w:pPr>
            <w:r>
              <w:rPr>
                <w:rFonts w:hint="eastAsia" w:ascii="彩虹粗仿宋" w:eastAsia="彩虹粗仿宋"/>
                <w:szCs w:val="21"/>
                <w:highlight w:val="none"/>
                <w:lang w:val="en-US" w:eastAsia="zh-CN"/>
              </w:rPr>
              <w:t>建信理财龙鑫（基础设施优选）固收类最低持有1年产品第2期</w:t>
            </w:r>
          </w:p>
        </w:tc>
        <w:tc>
          <w:tcPr>
            <w:tcW w:w="1931" w:type="dxa"/>
            <w:vAlign w:val="center"/>
          </w:tcPr>
          <w:p w14:paraId="41A279D0">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Z7000726001193</w:t>
            </w:r>
          </w:p>
        </w:tc>
        <w:tc>
          <w:tcPr>
            <w:tcW w:w="961" w:type="dxa"/>
            <w:vAlign w:val="center"/>
          </w:tcPr>
          <w:p w14:paraId="68CE65C4">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0.15%</w:t>
            </w:r>
          </w:p>
        </w:tc>
        <w:tc>
          <w:tcPr>
            <w:tcW w:w="972" w:type="dxa"/>
            <w:vAlign w:val="center"/>
          </w:tcPr>
          <w:p w14:paraId="37C27FCD">
            <w:pPr>
              <w:autoSpaceDE w:val="0"/>
              <w:autoSpaceDN w:val="0"/>
              <w:adjustRightInd w:val="0"/>
              <w:jc w:val="center"/>
              <w:rPr>
                <w:rFonts w:hint="eastAsia" w:ascii="彩虹粗仿宋" w:eastAsia="彩虹粗仿宋"/>
                <w:szCs w:val="21"/>
                <w:highlight w:val="none"/>
                <w:lang w:val="en-US" w:eastAsia="zh-CN"/>
              </w:rPr>
            </w:pPr>
            <w:r>
              <w:rPr>
                <w:rFonts w:hint="eastAsia" w:ascii="彩虹粗仿宋" w:eastAsia="彩虹粗仿宋"/>
                <w:szCs w:val="21"/>
                <w:highlight w:val="none"/>
                <w:lang w:val="en-US" w:eastAsia="zh-CN"/>
              </w:rPr>
              <w:t>0.1%</w:t>
            </w:r>
          </w:p>
        </w:tc>
        <w:tc>
          <w:tcPr>
            <w:tcW w:w="1596" w:type="dxa"/>
            <w:shd w:val="clear" w:color="auto" w:fill="auto"/>
            <w:vAlign w:val="center"/>
          </w:tcPr>
          <w:p w14:paraId="1E203690">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6</w:t>
            </w:r>
            <w:r>
              <w:rPr>
                <w:rFonts w:hint="eastAsia" w:ascii="彩虹粗仿宋" w:eastAsia="彩虹粗仿宋"/>
                <w:szCs w:val="21"/>
                <w:highlight w:val="none"/>
              </w:rPr>
              <w:t>月</w:t>
            </w:r>
            <w:r>
              <w:rPr>
                <w:rFonts w:hint="eastAsia" w:ascii="彩虹粗仿宋" w:eastAsia="彩虹粗仿宋"/>
                <w:szCs w:val="21"/>
                <w:highlight w:val="none"/>
                <w:lang w:val="en-US" w:eastAsia="zh-CN"/>
              </w:rPr>
              <w:t>23</w:t>
            </w:r>
            <w:r>
              <w:rPr>
                <w:rFonts w:hint="eastAsia" w:ascii="彩虹粗仿宋" w:eastAsia="彩虹粗仿宋"/>
                <w:szCs w:val="21"/>
                <w:highlight w:val="none"/>
              </w:rPr>
              <w:t>日</w:t>
            </w:r>
          </w:p>
        </w:tc>
        <w:tc>
          <w:tcPr>
            <w:tcW w:w="1620" w:type="dxa"/>
            <w:vAlign w:val="center"/>
          </w:tcPr>
          <w:p w14:paraId="75E77E98">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9</w:t>
            </w:r>
            <w:r>
              <w:rPr>
                <w:rFonts w:hint="eastAsia" w:ascii="彩虹粗仿宋" w:eastAsia="彩虹粗仿宋"/>
                <w:szCs w:val="21"/>
                <w:highlight w:val="none"/>
              </w:rPr>
              <w:t>月</w:t>
            </w:r>
            <w:r>
              <w:rPr>
                <w:rFonts w:hint="eastAsia" w:ascii="彩虹粗仿宋" w:eastAsia="彩虹粗仿宋"/>
                <w:szCs w:val="21"/>
                <w:highlight w:val="none"/>
                <w:lang w:val="en-US" w:eastAsia="zh-CN"/>
              </w:rPr>
              <w:t>23</w:t>
            </w:r>
            <w:r>
              <w:rPr>
                <w:rFonts w:hint="eastAsia" w:ascii="彩虹粗仿宋" w:eastAsia="彩虹粗仿宋"/>
                <w:szCs w:val="21"/>
                <w:highlight w:val="none"/>
              </w:rPr>
              <w:t>日</w:t>
            </w:r>
          </w:p>
        </w:tc>
      </w:tr>
    </w:tbl>
    <w:p w14:paraId="56BC8D99">
      <w:pPr>
        <w:pStyle w:val="4"/>
        <w:spacing w:before="0" w:beforeAutospacing="0" w:after="0" w:afterAutospacing="0" w:line="240" w:lineRule="auto"/>
        <w:rPr>
          <w:rFonts w:hint="eastAsia" w:ascii="彩虹粗仿宋" w:hAnsi="微软雅黑" w:eastAsia="彩虹粗仿宋"/>
          <w:color w:val="333333"/>
          <w:sz w:val="32"/>
          <w:szCs w:val="32"/>
        </w:rPr>
      </w:pPr>
    </w:p>
    <w:p w14:paraId="7968DAA9">
      <w:pPr>
        <w:pStyle w:val="4"/>
        <w:spacing w:before="405" w:beforeLines="130" w:beforeAutospacing="0" w:after="0" w:afterAutospacing="0"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自优惠结束日后，销售费率和管理费率恢复至原费率水平。</w:t>
      </w:r>
    </w:p>
    <w:p w14:paraId="7007A37D">
      <w:pPr>
        <w:pStyle w:val="4"/>
        <w:spacing w:before="0" w:beforeAutospacing="0" w:after="0" w:afterAutospacing="0"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本公告未提及事宜，按原产品说明书和风险揭示书的约定执行。</w:t>
      </w:r>
    </w:p>
    <w:p w14:paraId="76D54DDF">
      <w:pPr>
        <w:pStyle w:val="4"/>
        <w:spacing w:before="0" w:beforeAutospacing="0" w:after="0" w:afterAutospacing="0" w:line="360" w:lineRule="auto"/>
        <w:ind w:firstLine="640" w:firstLineChars="200"/>
        <w:rPr>
          <w:rFonts w:ascii="彩虹粗仿宋" w:hAnsi="微软雅黑" w:eastAsia="彩虹粗仿宋"/>
          <w:color w:val="333333"/>
          <w:sz w:val="32"/>
          <w:szCs w:val="32"/>
        </w:rPr>
      </w:pPr>
      <w:r>
        <w:rPr>
          <w:rFonts w:ascii="彩虹粗仿宋" w:hAnsi="微软雅黑" w:eastAsia="彩虹粗仿宋"/>
          <w:color w:val="333333"/>
          <w:sz w:val="32"/>
          <w:szCs w:val="32"/>
        </w:rPr>
        <w:t>建信理财有限责任公司将本着勤勉尽职的原则持续为您提供专业化理财服务。</w:t>
      </w:r>
    </w:p>
    <w:p w14:paraId="1AEC125D">
      <w:pPr>
        <w:spacing w:line="360" w:lineRule="auto"/>
        <w:ind w:firstLine="640" w:firstLineChars="200"/>
        <w:rPr>
          <w:rFonts w:ascii="彩虹粗仿宋" w:hAnsi="微软雅黑" w:eastAsia="彩虹粗仿宋" w:cs="宋体"/>
          <w:color w:val="333333"/>
          <w:kern w:val="0"/>
          <w:sz w:val="32"/>
          <w:szCs w:val="32"/>
        </w:rPr>
      </w:pPr>
      <w:r>
        <w:rPr>
          <w:rFonts w:hint="eastAsia" w:ascii="彩虹粗仿宋" w:hAnsi="微软雅黑" w:eastAsia="彩虹粗仿宋" w:cs="宋体"/>
          <w:color w:val="333333"/>
          <w:kern w:val="0"/>
          <w:sz w:val="32"/>
          <w:szCs w:val="32"/>
        </w:rPr>
        <w:t>特此公告。</w:t>
      </w:r>
    </w:p>
    <w:p w14:paraId="42AA50D7">
      <w:pPr>
        <w:ind w:firstLine="646" w:firstLineChars="202"/>
        <w:rPr>
          <w:rFonts w:ascii="彩虹粗仿宋" w:hAnsi="微软雅黑" w:eastAsia="彩虹粗仿宋" w:cs="宋体"/>
          <w:color w:val="333333"/>
          <w:kern w:val="0"/>
          <w:sz w:val="32"/>
          <w:szCs w:val="32"/>
        </w:rPr>
      </w:pPr>
    </w:p>
    <w:p w14:paraId="70194F75">
      <w:pPr>
        <w:ind w:firstLine="646" w:firstLineChars="202"/>
        <w:jc w:val="right"/>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建信理财有限责任公司</w:t>
      </w:r>
    </w:p>
    <w:p w14:paraId="6BF6709A">
      <w:pPr>
        <w:ind w:firstLine="646" w:firstLineChars="202"/>
        <w:jc w:val="right"/>
      </w:pPr>
      <w:r>
        <w:rPr>
          <w:rFonts w:hint="eastAsia" w:ascii="彩虹粗仿宋" w:hAnsi="微软雅黑" w:eastAsia="彩虹粗仿宋" w:cs="宋体"/>
          <w:color w:val="333333"/>
          <w:kern w:val="0"/>
          <w:sz w:val="32"/>
          <w:szCs w:val="32"/>
        </w:rPr>
        <w:t>2026</w:t>
      </w:r>
      <w:r>
        <w:rPr>
          <w:rFonts w:ascii="彩虹粗仿宋" w:hAnsi="微软雅黑" w:eastAsia="彩虹粗仿宋" w:cs="宋体"/>
          <w:color w:val="333333"/>
          <w:kern w:val="0"/>
          <w:sz w:val="32"/>
          <w:szCs w:val="32"/>
        </w:rPr>
        <w:t xml:space="preserve">年 </w:t>
      </w:r>
      <w:r>
        <w:rPr>
          <w:rFonts w:hint="eastAsia" w:ascii="彩虹粗仿宋" w:hAnsi="微软雅黑" w:eastAsia="彩虹粗仿宋" w:cs="宋体"/>
          <w:color w:val="333333"/>
          <w:kern w:val="0"/>
          <w:sz w:val="32"/>
          <w:szCs w:val="32"/>
          <w:lang w:val="en-US" w:eastAsia="zh-CN"/>
        </w:rPr>
        <w:t>6</w:t>
      </w:r>
      <w:r>
        <w:rPr>
          <w:rFonts w:ascii="彩虹粗仿宋" w:hAnsi="微软雅黑" w:eastAsia="彩虹粗仿宋" w:cs="宋体"/>
          <w:color w:val="333333"/>
          <w:kern w:val="0"/>
          <w:sz w:val="32"/>
          <w:szCs w:val="32"/>
        </w:rPr>
        <w:t>月</w:t>
      </w:r>
      <w:r>
        <w:rPr>
          <w:rFonts w:hint="eastAsia" w:ascii="彩虹粗仿宋" w:hAnsi="微软雅黑" w:eastAsia="彩虹粗仿宋" w:cs="宋体"/>
          <w:color w:val="333333"/>
          <w:kern w:val="0"/>
          <w:sz w:val="32"/>
          <w:szCs w:val="32"/>
          <w:lang w:val="en-US" w:eastAsia="zh-CN"/>
        </w:rPr>
        <w:t>18</w:t>
      </w:r>
      <w:bookmarkStart w:id="0" w:name="_GoBack"/>
      <w:bookmarkEnd w:id="0"/>
      <w:r>
        <w:rPr>
          <w:rFonts w:ascii="彩虹粗仿宋" w:hAnsi="微软雅黑" w:eastAsia="彩虹粗仿宋" w:cs="宋体"/>
          <w:color w:val="333333"/>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DCA"/>
    <w:rsid w:val="008F30F8"/>
    <w:rsid w:val="00942DCA"/>
    <w:rsid w:val="03664364"/>
    <w:rsid w:val="039936E4"/>
    <w:rsid w:val="07E86C40"/>
    <w:rsid w:val="098655BC"/>
    <w:rsid w:val="0A1217C2"/>
    <w:rsid w:val="105B243D"/>
    <w:rsid w:val="12504506"/>
    <w:rsid w:val="194D5F57"/>
    <w:rsid w:val="19F822FB"/>
    <w:rsid w:val="210C5466"/>
    <w:rsid w:val="21423F54"/>
    <w:rsid w:val="24C20D54"/>
    <w:rsid w:val="25B811EE"/>
    <w:rsid w:val="25E67C21"/>
    <w:rsid w:val="29D6622D"/>
    <w:rsid w:val="2B215313"/>
    <w:rsid w:val="33487838"/>
    <w:rsid w:val="366F06AF"/>
    <w:rsid w:val="38A7009D"/>
    <w:rsid w:val="40E5584A"/>
    <w:rsid w:val="440C75E1"/>
    <w:rsid w:val="45673698"/>
    <w:rsid w:val="46143433"/>
    <w:rsid w:val="461C5E16"/>
    <w:rsid w:val="47532DA2"/>
    <w:rsid w:val="49553C3F"/>
    <w:rsid w:val="4A2C2D62"/>
    <w:rsid w:val="4A804A80"/>
    <w:rsid w:val="4DAB4275"/>
    <w:rsid w:val="506D41B7"/>
    <w:rsid w:val="50C75131"/>
    <w:rsid w:val="51F34B83"/>
    <w:rsid w:val="59B01339"/>
    <w:rsid w:val="5D7259E3"/>
    <w:rsid w:val="605B339E"/>
    <w:rsid w:val="61024C7E"/>
    <w:rsid w:val="66094DF3"/>
    <w:rsid w:val="69130921"/>
    <w:rsid w:val="6A7B4E5D"/>
    <w:rsid w:val="6B7B5F97"/>
    <w:rsid w:val="6DF734E2"/>
    <w:rsid w:val="6EBC4C2D"/>
    <w:rsid w:val="74895F66"/>
    <w:rsid w:val="78E26444"/>
    <w:rsid w:val="7B410CDF"/>
    <w:rsid w:val="7E0A1BD5"/>
    <w:rsid w:val="7ED2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Words>
  <Characters>412</Characters>
  <Lines>3</Lines>
  <Paragraphs>1</Paragraphs>
  <TotalTime>2</TotalTime>
  <ScaleCrop>false</ScaleCrop>
  <LinksUpToDate>false</LinksUpToDate>
  <CharactersWithSpaces>483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2026-04-21T01:18:00Z</dcterms:created>
  <dc:creator>jxlc</dc:creator>
  <cp:lastModifiedBy>jxlc</cp:lastModifiedBy>
  <dcterms:modified xsi:type="dcterms:W3CDTF">2026-06-11T08:56:40Z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424809F144E84E3581ECAACACD666BEE_12</vt:lpwstr>
  </property>
</Properties>
</file>