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77777777" w:rsidR="00B6647A" w:rsidRDefault="00576ED9">
      <w:pPr>
        <w:jc w:val="center"/>
        <w:rPr>
          <w:rFonts w:ascii="彩虹小标宋" w:eastAsia="彩虹小标宋"/>
          <w:sz w:val="44"/>
          <w:szCs w:val="44"/>
        </w:rPr>
      </w:pPr>
      <w:r>
        <w:rPr>
          <w:rFonts w:ascii="彩虹小标宋" w:eastAsia="彩虹小标宋" w:hint="eastAsia"/>
          <w:sz w:val="44"/>
          <w:szCs w:val="44"/>
        </w:rPr>
        <w:t>关于调整建信理财嘉</w:t>
      </w:r>
      <w:proofErr w:type="gramStart"/>
      <w:r>
        <w:rPr>
          <w:rFonts w:ascii="彩虹小标宋" w:eastAsia="彩虹小标宋" w:hint="eastAsia"/>
          <w:sz w:val="44"/>
          <w:szCs w:val="44"/>
        </w:rPr>
        <w:t>鑫</w:t>
      </w:r>
      <w:proofErr w:type="gramEnd"/>
      <w:r>
        <w:rPr>
          <w:rFonts w:ascii="彩虹小标宋" w:eastAsia="彩虹小标宋" w:hint="eastAsia"/>
          <w:sz w:val="44"/>
          <w:szCs w:val="44"/>
        </w:rPr>
        <w:t>（稳利）</w:t>
      </w:r>
      <w:proofErr w:type="gramStart"/>
      <w:r>
        <w:rPr>
          <w:rFonts w:ascii="彩虹小标宋" w:eastAsia="彩虹小标宋" w:hint="eastAsia"/>
          <w:sz w:val="44"/>
          <w:szCs w:val="44"/>
        </w:rPr>
        <w:t>固收类</w:t>
      </w:r>
      <w:proofErr w:type="gramEnd"/>
      <w:r>
        <w:rPr>
          <w:rFonts w:ascii="彩虹小标宋" w:eastAsia="彩虹小标宋" w:hint="eastAsia"/>
          <w:sz w:val="44"/>
          <w:szCs w:val="44"/>
        </w:rPr>
        <w:t>按日开放式产品第</w:t>
      </w:r>
      <w:r>
        <w:rPr>
          <w:rFonts w:ascii="彩虹小标宋" w:eastAsia="彩虹小标宋" w:hint="eastAsia"/>
          <w:sz w:val="44"/>
          <w:szCs w:val="44"/>
        </w:rPr>
        <w:t>40</w:t>
      </w:r>
      <w:r>
        <w:rPr>
          <w:rFonts w:ascii="彩虹小标宋" w:eastAsia="彩虹小标宋" w:hint="eastAsia"/>
          <w:sz w:val="44"/>
          <w:szCs w:val="44"/>
        </w:rPr>
        <w:t>期交易限额的公告</w:t>
      </w:r>
    </w:p>
    <w:p w14:paraId="36C48FFA" w14:textId="77777777" w:rsidR="00B6647A" w:rsidRDefault="00B6647A">
      <w:pPr>
        <w:rPr>
          <w:rFonts w:ascii="彩虹小标宋" w:eastAsia="彩虹小标宋"/>
          <w:sz w:val="44"/>
          <w:szCs w:val="44"/>
        </w:rPr>
      </w:pPr>
    </w:p>
    <w:p w14:paraId="6F623364" w14:textId="77777777" w:rsidR="00B6647A" w:rsidRDefault="00576ED9">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77777777" w:rsidR="00B6647A" w:rsidRDefault="00576ED9">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为维护产品平稳运作，建信理财有限责任公司调整以下产品交易限额：</w:t>
      </w:r>
    </w:p>
    <w:tbl>
      <w:tblPr>
        <w:tblStyle w:val="a4"/>
        <w:tblW w:w="4513" w:type="pct"/>
        <w:jc w:val="center"/>
        <w:tblLook w:val="04A0" w:firstRow="1" w:lastRow="0" w:firstColumn="1" w:lastColumn="0" w:noHBand="0" w:noVBand="1"/>
      </w:tblPr>
      <w:tblGrid>
        <w:gridCol w:w="1937"/>
        <w:gridCol w:w="1841"/>
        <w:gridCol w:w="2234"/>
        <w:gridCol w:w="1680"/>
      </w:tblGrid>
      <w:tr w:rsidR="007B06FA" w14:paraId="45BAF7E0" w14:textId="77777777" w:rsidTr="007B06FA">
        <w:trPr>
          <w:trHeight w:val="631"/>
          <w:jc w:val="center"/>
        </w:trPr>
        <w:tc>
          <w:tcPr>
            <w:tcW w:w="1259" w:type="pct"/>
            <w:vAlign w:val="center"/>
          </w:tcPr>
          <w:p w14:paraId="194A2EA0" w14:textId="77777777" w:rsidR="007B06FA" w:rsidRDefault="007B06FA">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产品名称</w:t>
            </w:r>
          </w:p>
        </w:tc>
        <w:tc>
          <w:tcPr>
            <w:tcW w:w="1197" w:type="pct"/>
            <w:vAlign w:val="center"/>
          </w:tcPr>
          <w:p w14:paraId="4DEB755C" w14:textId="77777777" w:rsidR="007B06FA" w:rsidRDefault="007B06FA">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全国银行业理财信息登记系统编号</w:t>
            </w:r>
          </w:p>
        </w:tc>
        <w:tc>
          <w:tcPr>
            <w:tcW w:w="1452" w:type="pct"/>
            <w:vAlign w:val="center"/>
          </w:tcPr>
          <w:p w14:paraId="35447AE0" w14:textId="124E18BD" w:rsidR="007B06FA" w:rsidRPr="00576ED9" w:rsidRDefault="007B06FA">
            <w:pPr>
              <w:pStyle w:val="a3"/>
              <w:snapToGrid w:val="0"/>
              <w:spacing w:before="0" w:beforeAutospacing="0" w:after="0" w:afterAutospacing="0"/>
              <w:jc w:val="center"/>
              <w:rPr>
                <w:rFonts w:ascii="彩虹粗仿宋" w:eastAsia="彩虹粗仿宋" w:hAnsiTheme="minorHAnsi" w:cstheme="minorBidi"/>
                <w:b/>
                <w:bCs/>
                <w:kern w:val="2"/>
                <w:sz w:val="18"/>
                <w:szCs w:val="18"/>
              </w:rPr>
            </w:pPr>
            <w:bookmarkStart w:id="0" w:name="_GoBack"/>
            <w:r w:rsidRPr="00576ED9">
              <w:rPr>
                <w:rFonts w:ascii="彩虹粗仿宋" w:eastAsia="彩虹粗仿宋" w:hint="eastAsia"/>
                <w:b/>
                <w:sz w:val="18"/>
                <w:szCs w:val="18"/>
              </w:rPr>
              <w:t>单日净申购份额</w:t>
            </w:r>
            <w:bookmarkEnd w:id="0"/>
          </w:p>
        </w:tc>
        <w:tc>
          <w:tcPr>
            <w:tcW w:w="1092" w:type="pct"/>
            <w:vAlign w:val="center"/>
          </w:tcPr>
          <w:p w14:paraId="1F2ABDAA" w14:textId="77777777" w:rsidR="007B06FA" w:rsidRDefault="007B06FA">
            <w:pPr>
              <w:pStyle w:val="a3"/>
              <w:snapToGrid w:val="0"/>
              <w:spacing w:before="0" w:beforeAutospacing="0" w:after="0" w:afterAutospacing="0"/>
              <w:jc w:val="center"/>
              <w:rPr>
                <w:rFonts w:ascii="彩虹粗仿宋" w:eastAsia="彩虹粗仿宋" w:hAnsiTheme="minorHAnsi" w:cstheme="minorBidi"/>
                <w:b/>
                <w:bCs/>
                <w:kern w:val="2"/>
                <w:sz w:val="18"/>
                <w:szCs w:val="18"/>
              </w:rPr>
            </w:pPr>
            <w:r>
              <w:rPr>
                <w:rFonts w:ascii="彩虹粗仿宋" w:eastAsia="彩虹粗仿宋" w:hAnsiTheme="minorHAnsi" w:cstheme="minorBidi" w:hint="eastAsia"/>
                <w:b/>
                <w:bCs/>
                <w:kern w:val="2"/>
                <w:sz w:val="18"/>
                <w:szCs w:val="18"/>
              </w:rPr>
              <w:t>调整生效日</w:t>
            </w:r>
          </w:p>
        </w:tc>
      </w:tr>
      <w:tr w:rsidR="007B06FA" w14:paraId="33FA2359" w14:textId="77777777" w:rsidTr="007B06FA">
        <w:trPr>
          <w:trHeight w:val="1629"/>
          <w:jc w:val="center"/>
        </w:trPr>
        <w:tc>
          <w:tcPr>
            <w:tcW w:w="1259" w:type="pct"/>
            <w:vAlign w:val="center"/>
          </w:tcPr>
          <w:p w14:paraId="30C43367" w14:textId="77777777" w:rsidR="007B06FA" w:rsidRDefault="007B06FA">
            <w:pPr>
              <w:autoSpaceDE w:val="0"/>
              <w:autoSpaceDN w:val="0"/>
              <w:adjustRightInd w:val="0"/>
              <w:jc w:val="center"/>
              <w:rPr>
                <w:rFonts w:ascii="彩虹粗仿宋" w:eastAsia="彩虹粗仿宋"/>
                <w:sz w:val="18"/>
                <w:szCs w:val="18"/>
              </w:rPr>
            </w:pPr>
            <w:r>
              <w:rPr>
                <w:rFonts w:ascii="彩虹粗仿宋" w:eastAsia="彩虹粗仿宋" w:hint="eastAsia"/>
                <w:sz w:val="18"/>
                <w:szCs w:val="18"/>
              </w:rPr>
              <w:t>建信理财嘉</w:t>
            </w:r>
            <w:proofErr w:type="gramStart"/>
            <w:r>
              <w:rPr>
                <w:rFonts w:ascii="彩虹粗仿宋" w:eastAsia="彩虹粗仿宋" w:hint="eastAsia"/>
                <w:sz w:val="18"/>
                <w:szCs w:val="18"/>
              </w:rPr>
              <w:t>鑫</w:t>
            </w:r>
            <w:proofErr w:type="gramEnd"/>
            <w:r>
              <w:rPr>
                <w:rFonts w:ascii="彩虹粗仿宋" w:eastAsia="彩虹粗仿宋" w:hint="eastAsia"/>
                <w:sz w:val="18"/>
                <w:szCs w:val="18"/>
              </w:rPr>
              <w:t>（稳利）</w:t>
            </w:r>
            <w:proofErr w:type="gramStart"/>
            <w:r>
              <w:rPr>
                <w:rFonts w:ascii="彩虹粗仿宋" w:eastAsia="彩虹粗仿宋" w:hint="eastAsia"/>
                <w:sz w:val="18"/>
                <w:szCs w:val="18"/>
              </w:rPr>
              <w:t>固收类</w:t>
            </w:r>
            <w:proofErr w:type="gramEnd"/>
            <w:r>
              <w:rPr>
                <w:rFonts w:ascii="彩虹粗仿宋" w:eastAsia="彩虹粗仿宋" w:hint="eastAsia"/>
                <w:sz w:val="18"/>
                <w:szCs w:val="18"/>
              </w:rPr>
              <w:t>按日开放式产品第40期</w:t>
            </w:r>
          </w:p>
        </w:tc>
        <w:tc>
          <w:tcPr>
            <w:tcW w:w="1197" w:type="pct"/>
            <w:vAlign w:val="center"/>
          </w:tcPr>
          <w:p w14:paraId="71F4C6E3" w14:textId="77777777" w:rsidR="007B06FA" w:rsidRDefault="007B06FA">
            <w:pPr>
              <w:autoSpaceDE w:val="0"/>
              <w:autoSpaceDN w:val="0"/>
              <w:adjustRightInd w:val="0"/>
              <w:jc w:val="center"/>
              <w:rPr>
                <w:rFonts w:ascii="彩虹粗仿宋" w:eastAsia="彩虹粗仿宋"/>
                <w:sz w:val="18"/>
                <w:szCs w:val="18"/>
              </w:rPr>
            </w:pPr>
            <w:r>
              <w:rPr>
                <w:rFonts w:ascii="彩虹粗仿宋" w:eastAsia="彩虹粗仿宋" w:hint="eastAsia"/>
                <w:sz w:val="18"/>
                <w:szCs w:val="18"/>
              </w:rPr>
              <w:t>Z7000725001080</w:t>
            </w:r>
          </w:p>
        </w:tc>
        <w:tc>
          <w:tcPr>
            <w:tcW w:w="1452" w:type="pct"/>
            <w:vAlign w:val="center"/>
          </w:tcPr>
          <w:p w14:paraId="715C36A3" w14:textId="77777777" w:rsidR="007B06FA" w:rsidRDefault="007B06FA">
            <w:pPr>
              <w:autoSpaceDE w:val="0"/>
              <w:autoSpaceDN w:val="0"/>
              <w:adjustRightInd w:val="0"/>
              <w:jc w:val="center"/>
              <w:rPr>
                <w:rFonts w:ascii="彩虹粗仿宋" w:eastAsia="彩虹粗仿宋" w:hAnsi="彩虹粗仿宋" w:cs="彩虹粗仿宋"/>
                <w:sz w:val="18"/>
                <w:szCs w:val="18"/>
              </w:rPr>
            </w:pPr>
            <w:r>
              <w:rPr>
                <w:rFonts w:ascii="彩虹粗仿宋" w:eastAsia="彩虹粗仿宋" w:hAnsi="彩虹粗仿宋" w:cs="彩虹粗仿宋" w:hint="eastAsia"/>
                <w:sz w:val="18"/>
                <w:szCs w:val="18"/>
              </w:rPr>
              <w:t>A类份额：不超过40亿份</w:t>
            </w:r>
          </w:p>
          <w:p w14:paraId="57A24054" w14:textId="36D770D1" w:rsidR="007B06FA" w:rsidRDefault="007B06FA">
            <w:pPr>
              <w:autoSpaceDE w:val="0"/>
              <w:autoSpaceDN w:val="0"/>
              <w:adjustRightInd w:val="0"/>
              <w:jc w:val="center"/>
              <w:rPr>
                <w:rFonts w:ascii="彩虹粗仿宋" w:eastAsia="彩虹粗仿宋" w:hAnsi="彩虹粗仿宋" w:cs="彩虹粗仿宋" w:hint="eastAsia"/>
                <w:sz w:val="18"/>
                <w:szCs w:val="18"/>
              </w:rPr>
            </w:pPr>
            <w:r>
              <w:rPr>
                <w:rFonts w:ascii="彩虹粗仿宋" w:eastAsia="彩虹粗仿宋" w:hAnsi="彩虹粗仿宋" w:cs="彩虹粗仿宋" w:hint="eastAsia"/>
                <w:sz w:val="18"/>
                <w:szCs w:val="18"/>
              </w:rPr>
              <w:t>B类份额：不超过5亿份</w:t>
            </w:r>
          </w:p>
        </w:tc>
        <w:tc>
          <w:tcPr>
            <w:tcW w:w="1092" w:type="pct"/>
            <w:vAlign w:val="center"/>
          </w:tcPr>
          <w:p w14:paraId="74CE9369" w14:textId="77777777" w:rsidR="007B06FA" w:rsidRDefault="007B06FA">
            <w:pPr>
              <w:pStyle w:val="a3"/>
              <w:snapToGrid w:val="0"/>
              <w:spacing w:line="460" w:lineRule="atLeast"/>
              <w:jc w:val="center"/>
              <w:rPr>
                <w:rFonts w:ascii="彩虹粗仿宋" w:eastAsia="彩虹粗仿宋" w:hAnsiTheme="minorHAnsi" w:cstheme="minorBidi"/>
                <w:kern w:val="2"/>
                <w:sz w:val="18"/>
                <w:szCs w:val="18"/>
              </w:rPr>
            </w:pPr>
            <w:r>
              <w:rPr>
                <w:rFonts w:ascii="彩虹粗仿宋" w:eastAsia="彩虹粗仿宋" w:hAnsi="彩虹粗仿宋" w:cs="彩虹粗仿宋" w:hint="eastAsia"/>
                <w:sz w:val="18"/>
                <w:szCs w:val="18"/>
              </w:rPr>
              <w:t>2026年6月18日</w:t>
            </w:r>
          </w:p>
        </w:tc>
      </w:tr>
    </w:tbl>
    <w:p w14:paraId="53A711BD" w14:textId="77777777" w:rsidR="00B6647A" w:rsidRDefault="00576ED9">
      <w:pPr>
        <w:pStyle w:val="a3"/>
        <w:spacing w:before="0" w:beforeAutospacing="0" w:after="0" w:afterAutospacing="0" w:line="360" w:lineRule="auto"/>
        <w:ind w:firstLine="42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B6647A" w:rsidRDefault="00576ED9">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B6647A" w:rsidRDefault="00576ED9">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B6647A" w:rsidRDefault="00B6647A">
      <w:pPr>
        <w:ind w:firstLineChars="202" w:firstLine="646"/>
        <w:rPr>
          <w:rFonts w:ascii="彩虹粗仿宋" w:eastAsia="彩虹粗仿宋" w:hAnsi="微软雅黑" w:cs="宋体"/>
          <w:color w:val="333333"/>
          <w:kern w:val="0"/>
          <w:sz w:val="32"/>
          <w:szCs w:val="32"/>
        </w:rPr>
      </w:pPr>
    </w:p>
    <w:p w14:paraId="26B049A3" w14:textId="77777777" w:rsidR="00B6647A" w:rsidRDefault="00576ED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77777777" w:rsidR="00B6647A" w:rsidRDefault="00576ED9">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18</w:t>
      </w:r>
      <w:r>
        <w:rPr>
          <w:rFonts w:ascii="彩虹粗仿宋" w:eastAsia="彩虹粗仿宋" w:hAnsi="微软雅黑" w:cs="宋体"/>
          <w:color w:val="333333"/>
          <w:kern w:val="0"/>
          <w:sz w:val="32"/>
          <w:szCs w:val="32"/>
        </w:rPr>
        <w:t>日</w:t>
      </w:r>
    </w:p>
    <w:p w14:paraId="0E17C65E" w14:textId="77777777" w:rsidR="00B6647A" w:rsidRDefault="00B6647A"/>
    <w:sectPr w:rsidR="00B66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F7"/>
    <w:rsid w:val="002147ED"/>
    <w:rsid w:val="00576ED9"/>
    <w:rsid w:val="007B06D1"/>
    <w:rsid w:val="007B06FA"/>
    <w:rsid w:val="0096764F"/>
    <w:rsid w:val="009B18F7"/>
    <w:rsid w:val="00B6647A"/>
    <w:rsid w:val="00CA7E00"/>
    <w:rsid w:val="0A0360DD"/>
    <w:rsid w:val="0BEB285A"/>
    <w:rsid w:val="0DFE610C"/>
    <w:rsid w:val="0F214A20"/>
    <w:rsid w:val="0FA01368"/>
    <w:rsid w:val="142D0FD0"/>
    <w:rsid w:val="15DF39E4"/>
    <w:rsid w:val="193058E6"/>
    <w:rsid w:val="1A9C6B4E"/>
    <w:rsid w:val="28B92CDA"/>
    <w:rsid w:val="32126EAE"/>
    <w:rsid w:val="34B232D3"/>
    <w:rsid w:val="36C16ACA"/>
    <w:rsid w:val="414B67C3"/>
    <w:rsid w:val="41EE4ADF"/>
    <w:rsid w:val="4718528B"/>
    <w:rsid w:val="4D205177"/>
    <w:rsid w:val="500707B0"/>
    <w:rsid w:val="52C66BF0"/>
    <w:rsid w:val="5479430F"/>
    <w:rsid w:val="567B7A0D"/>
    <w:rsid w:val="66705548"/>
    <w:rsid w:val="6B6561C4"/>
    <w:rsid w:val="6DB66E2E"/>
    <w:rsid w:val="6E6A6BC4"/>
    <w:rsid w:val="71915F81"/>
    <w:rsid w:val="79C9236D"/>
    <w:rsid w:val="7ED91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1D84C"/>
  <w15:docId w15:val="{805F5C1A-5278-4F84-BE24-0AAE8943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6</cp:revision>
  <dcterms:created xsi:type="dcterms:W3CDTF">2026-05-12T01:44:00Z</dcterms:created>
  <dcterms:modified xsi:type="dcterms:W3CDTF">2026-06-18T06:27:00Z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