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建信理财嘉鑫（稳利）法人版固收类按日开放式产品第29期</w:t>
      </w:r>
      <w:r>
        <w:rPr>
          <w:rFonts w:hint="eastAsia" w:ascii="彩虹小标宋" w:eastAsia="彩虹小标宋"/>
          <w:sz w:val="40"/>
          <w:szCs w:val="40"/>
          <w:lang w:val="en-US" w:eastAsia="zh-CN"/>
        </w:rPr>
        <w:t>限额</w:t>
      </w:r>
      <w:r>
        <w:rPr>
          <w:rFonts w:hint="eastAsia" w:ascii="彩虹小标宋" w:eastAsia="彩虹小标宋"/>
          <w:sz w:val="40"/>
          <w:szCs w:val="40"/>
        </w:rPr>
        <w:t>的公告</w:t>
      </w:r>
      <w:r>
        <w:rPr>
          <w:rFonts w:hint="eastAsia" w:ascii="彩虹小标宋" w:eastAsia="彩虹小标宋"/>
          <w:sz w:val="40"/>
          <w:szCs w:val="40"/>
          <w:lang w:val="en-US" w:eastAsia="zh-CN"/>
        </w:rPr>
        <w:t>-JXJXFRAR260226029</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于2026年6月24日（含）调整</w:t>
      </w:r>
      <w:r>
        <w:rPr>
          <w:rFonts w:hint="eastAsia" w:ascii="彩虹粗仿宋" w:eastAsia="彩虹粗仿宋"/>
          <w:sz w:val="32"/>
          <w:szCs w:val="32"/>
          <w:lang w:eastAsia="zh-CN"/>
        </w:rPr>
        <w:t>建信理财嘉鑫（稳利）法人版固收类按日开放式产品第29期（全国银行业理财信息登记系统编码：Z7000726000494）</w:t>
      </w:r>
      <w:r>
        <w:rPr>
          <w:rFonts w:hint="eastAsia" w:ascii="彩虹粗仿宋" w:eastAsia="彩虹粗仿宋"/>
          <w:sz w:val="32"/>
          <w:szCs w:val="32"/>
        </w:rPr>
        <w:t>的</w:t>
      </w:r>
      <w:r>
        <w:rPr>
          <w:rFonts w:hint="eastAsia" w:ascii="彩虹粗仿宋" w:eastAsia="彩虹粗仿宋"/>
          <w:sz w:val="32"/>
          <w:szCs w:val="32"/>
          <w:lang w:val="en-US" w:eastAsia="zh-CN"/>
        </w:rPr>
        <w:t>限额。</w:t>
      </w:r>
      <w:r>
        <w:rPr>
          <w:rFonts w:hint="eastAsia" w:ascii="彩虹粗仿宋" w:eastAsia="彩虹粗仿宋"/>
          <w:sz w:val="32"/>
          <w:szCs w:val="32"/>
        </w:rPr>
        <w:t>具体如下：</w:t>
      </w:r>
    </w:p>
    <w:tbl>
      <w:tblPr>
        <w:tblStyle w:val="11"/>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1959"/>
        <w:gridCol w:w="2136"/>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13"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59"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限额</w:t>
            </w:r>
          </w:p>
        </w:tc>
        <w:tc>
          <w:tcPr>
            <w:tcW w:w="2136" w:type="dxa"/>
            <w:vAlign w:val="center"/>
          </w:tcPr>
          <w:p w14:paraId="1A61BDF6">
            <w:pPr>
              <w:jc w:val="center"/>
              <w:rPr>
                <w:rFonts w:hint="eastAsia" w:ascii="宋体" w:hAnsi="宋体" w:eastAsia="宋体"/>
                <w:b/>
                <w:szCs w:val="21"/>
                <w:lang w:val="en-US" w:eastAsia="zh-CN"/>
              </w:rPr>
            </w:pPr>
            <w:r>
              <w:rPr>
                <w:rFonts w:hint="eastAsia" w:ascii="宋体" w:hAnsi="宋体" w:eastAsia="宋体"/>
                <w:b/>
                <w:szCs w:val="21"/>
                <w:lang w:val="en-US" w:eastAsia="zh-CN"/>
              </w:rPr>
              <w:t>调整前</w:t>
            </w:r>
          </w:p>
        </w:tc>
        <w:tc>
          <w:tcPr>
            <w:tcW w:w="2136" w:type="dxa"/>
            <w:vAlign w:val="center"/>
          </w:tcPr>
          <w:p w14:paraId="7167ECE0">
            <w:pPr>
              <w:jc w:val="center"/>
              <w:rPr>
                <w:rFonts w:hint="default" w:ascii="宋体" w:hAnsi="宋体" w:eastAsia="宋体"/>
                <w:b/>
                <w:szCs w:val="21"/>
                <w:lang w:val="en-US" w:eastAsia="zh-CN"/>
              </w:rPr>
            </w:pPr>
            <w:r>
              <w:rPr>
                <w:rFonts w:hint="default" w:ascii="宋体" w:hAnsi="宋体" w:eastAsia="宋体"/>
                <w:b/>
                <w:szCs w:val="21"/>
                <w:lang w:val="en-US" w:eastAsia="zh-CN"/>
              </w:rPr>
              <w:t>调整</w:t>
            </w:r>
            <w:r>
              <w:rPr>
                <w:rFonts w:hint="eastAsia" w:ascii="宋体" w:hAnsi="宋体" w:eastAsia="宋体"/>
                <w:b/>
                <w:szCs w:val="21"/>
                <w:lang w:val="en-US" w:eastAsia="zh-CN"/>
              </w:rPr>
              <w:t>后</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13" w:type="dxa"/>
            <w:vMerge w:val="restart"/>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建信理财嘉鑫（稳利）法人版固收类按日开放式产品第29期</w:t>
            </w:r>
          </w:p>
        </w:tc>
        <w:tc>
          <w:tcPr>
            <w:tcW w:w="1959" w:type="dxa"/>
            <w:vAlign w:val="center"/>
          </w:tcPr>
          <w:p w14:paraId="1CDE2B04">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单日净申购份额</w:t>
            </w:r>
          </w:p>
        </w:tc>
        <w:tc>
          <w:tcPr>
            <w:tcW w:w="2136" w:type="dxa"/>
            <w:vAlign w:val="center"/>
          </w:tcPr>
          <w:p w14:paraId="311A4D8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不超过500万份</w:t>
            </w:r>
          </w:p>
        </w:tc>
        <w:tc>
          <w:tcPr>
            <w:tcW w:w="2136" w:type="dxa"/>
            <w:vAlign w:val="center"/>
          </w:tcPr>
          <w:p w14:paraId="356ABD8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不超过50亿份</w:t>
            </w:r>
          </w:p>
        </w:tc>
      </w:tr>
      <w:tr w14:paraId="4750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13" w:type="dxa"/>
            <w:vMerge w:val="continue"/>
            <w:vAlign w:val="center"/>
          </w:tcPr>
          <w:p w14:paraId="466AC3FA">
            <w:pPr>
              <w:jc w:val="center"/>
              <w:rPr>
                <w:rFonts w:hint="eastAsia" w:ascii="宋体" w:hAnsi="宋体" w:eastAsia="宋体" w:cs="宋体"/>
                <w:sz w:val="21"/>
                <w:szCs w:val="21"/>
                <w:lang w:eastAsia="zh-CN"/>
              </w:rPr>
            </w:pPr>
          </w:p>
        </w:tc>
        <w:tc>
          <w:tcPr>
            <w:tcW w:w="1959" w:type="dxa"/>
            <w:vAlign w:val="center"/>
          </w:tcPr>
          <w:p w14:paraId="79FDA22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购买金额</w:t>
            </w:r>
          </w:p>
        </w:tc>
        <w:tc>
          <w:tcPr>
            <w:tcW w:w="2136" w:type="dxa"/>
            <w:vAlign w:val="center"/>
          </w:tcPr>
          <w:p w14:paraId="47E65F8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1元人民币起购</w:t>
            </w:r>
          </w:p>
        </w:tc>
        <w:tc>
          <w:tcPr>
            <w:tcW w:w="2136" w:type="dxa"/>
            <w:vAlign w:val="center"/>
          </w:tcPr>
          <w:p w14:paraId="053B63A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5亿元人民币起购</w:t>
            </w:r>
          </w:p>
        </w:tc>
      </w:tr>
      <w:tr w14:paraId="389C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13" w:type="dxa"/>
            <w:vMerge w:val="continue"/>
            <w:vAlign w:val="center"/>
          </w:tcPr>
          <w:p w14:paraId="70A340B8">
            <w:pPr>
              <w:jc w:val="center"/>
              <w:rPr>
                <w:rFonts w:hint="eastAsia" w:ascii="宋体" w:hAnsi="宋体" w:eastAsia="宋体" w:cs="宋体"/>
                <w:sz w:val="21"/>
                <w:szCs w:val="21"/>
                <w:lang w:eastAsia="zh-CN"/>
              </w:rPr>
            </w:pPr>
          </w:p>
        </w:tc>
        <w:tc>
          <w:tcPr>
            <w:tcW w:w="1959" w:type="dxa"/>
            <w:vAlign w:val="center"/>
          </w:tcPr>
          <w:p w14:paraId="37FE880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规模上限</w:t>
            </w:r>
          </w:p>
        </w:tc>
        <w:tc>
          <w:tcPr>
            <w:tcW w:w="2136" w:type="dxa"/>
            <w:vAlign w:val="center"/>
          </w:tcPr>
          <w:p w14:paraId="605D2AD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200亿份</w:t>
            </w:r>
          </w:p>
        </w:tc>
        <w:tc>
          <w:tcPr>
            <w:tcW w:w="2136" w:type="dxa"/>
            <w:vAlign w:val="center"/>
          </w:tcPr>
          <w:p w14:paraId="448B9C2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50亿份</w:t>
            </w:r>
          </w:p>
        </w:tc>
      </w:tr>
    </w:tbl>
    <w:p w14:paraId="01AB6CC9">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bookmarkStart w:id="0" w:name="_GoBack"/>
      <w:bookmarkEnd w:id="0"/>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24</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1E011F85"/>
    <w:rsid w:val="21200924"/>
    <w:rsid w:val="24072EE7"/>
    <w:rsid w:val="285E03C4"/>
    <w:rsid w:val="2AC75B35"/>
    <w:rsid w:val="2E920219"/>
    <w:rsid w:val="302046BC"/>
    <w:rsid w:val="30915601"/>
    <w:rsid w:val="34FD0C24"/>
    <w:rsid w:val="350C32A2"/>
    <w:rsid w:val="38020845"/>
    <w:rsid w:val="390B3E87"/>
    <w:rsid w:val="390C5502"/>
    <w:rsid w:val="391110CE"/>
    <w:rsid w:val="39C9477F"/>
    <w:rsid w:val="3B480E17"/>
    <w:rsid w:val="3FE33E39"/>
    <w:rsid w:val="40E55786"/>
    <w:rsid w:val="45096549"/>
    <w:rsid w:val="482B0E1F"/>
    <w:rsid w:val="4A1006BB"/>
    <w:rsid w:val="4CCE28CD"/>
    <w:rsid w:val="4D7615AA"/>
    <w:rsid w:val="4E581AE6"/>
    <w:rsid w:val="4F595D1F"/>
    <w:rsid w:val="56007508"/>
    <w:rsid w:val="5A5C063B"/>
    <w:rsid w:val="5F8E026C"/>
    <w:rsid w:val="60C67A98"/>
    <w:rsid w:val="618D119C"/>
    <w:rsid w:val="63B046C4"/>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5"/>
    <w:semiHidden/>
    <w:unhideWhenUsed/>
    <w:qFormat/>
    <w:uiPriority w:val="99"/>
    <w:pPr>
      <w:jc w:val="left"/>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6"/>
    <w:semiHidden/>
    <w:unhideWhenUsed/>
    <w:qFormat/>
    <w:uiPriority w:val="99"/>
    <w:rPr>
      <w:b/>
      <w:bCs/>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alloon Text"/>
    <w:basedOn w:val="1"/>
    <w:link w:val="14"/>
    <w:semiHidden/>
    <w:unhideWhenUsed/>
    <w:qFormat/>
    <w:uiPriority w:val="99"/>
    <w:rPr>
      <w:sz w:val="18"/>
      <w:szCs w:val="18"/>
    </w:rPr>
  </w:style>
  <w:style w:type="table" w:styleId="11">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2"/>
    <w:link w:val="5"/>
    <w:qFormat/>
    <w:uiPriority w:val="99"/>
    <w:rPr>
      <w:sz w:val="18"/>
      <w:szCs w:val="18"/>
    </w:rPr>
  </w:style>
  <w:style w:type="character" w:customStyle="1" w:styleId="13">
    <w:name w:val="页脚 字符"/>
    <w:basedOn w:val="2"/>
    <w:link w:val="7"/>
    <w:qFormat/>
    <w:uiPriority w:val="99"/>
    <w:rPr>
      <w:sz w:val="18"/>
      <w:szCs w:val="18"/>
    </w:rPr>
  </w:style>
  <w:style w:type="character" w:customStyle="1" w:styleId="14">
    <w:name w:val="批注框文本 字符"/>
    <w:basedOn w:val="2"/>
    <w:link w:val="10"/>
    <w:semiHidden/>
    <w:qFormat/>
    <w:uiPriority w:val="99"/>
    <w:rPr>
      <w:sz w:val="18"/>
      <w:szCs w:val="18"/>
    </w:rPr>
  </w:style>
  <w:style w:type="character" w:customStyle="1" w:styleId="15">
    <w:name w:val="批注文字 字符"/>
    <w:basedOn w:val="2"/>
    <w:link w:val="6"/>
    <w:semiHidden/>
    <w:qFormat/>
    <w:uiPriority w:val="99"/>
  </w:style>
  <w:style w:type="character" w:customStyle="1" w:styleId="16">
    <w:name w:val="批注主题 字符"/>
    <w:basedOn w:val="15"/>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1</TotalTime>
  <ScaleCrop>false</ScaleCrop>
  <LinksUpToDate>false</LinksUpToDate>
  <CharactersWithSpaces>428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yudong</cp:lastModifiedBy>
  <dcterms:modified xsi:type="dcterms:W3CDTF">2026-06-23T09:26:02Z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7D04B61C14C240EE8147780F5257A33B_13</vt:lpwstr>
  </property>
</Properties>
</file>