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AF6CC">
      <w:pPr>
        <w:pStyle w:val="3"/>
        <w:jc w:val="center"/>
        <w:rPr>
          <w:rFonts w:ascii="彩虹粗仿宋" w:hAnsi="微软雅黑" w:eastAsia="彩虹粗仿宋" w:cs="宋体"/>
          <w:color w:val="333333"/>
          <w:kern w:val="0"/>
          <w:szCs w:val="32"/>
        </w:rPr>
      </w:pPr>
      <w:r>
        <w:rPr>
          <w:rFonts w:hint="eastAsia" w:ascii="彩虹粗仿宋" w:hAnsi="彩虹粗仿宋" w:eastAsia="彩虹粗仿宋" w:cs="彩虹粗仿宋"/>
          <w:b w:val="0"/>
          <w:bCs/>
          <w:sz w:val="36"/>
          <w:szCs w:val="36"/>
        </w:rPr>
        <w:t>关于建信理财嘉鑫（稳利）固收类封闭式产品2026年第367期管理费率优惠的公告</w:t>
      </w:r>
    </w:p>
    <w:p w14:paraId="29086F39">
      <w:pPr>
        <w:jc w:val="center"/>
        <w:rPr>
          <w:rFonts w:ascii="彩虹粗仿宋" w:hAnsi="微软雅黑" w:eastAsia="彩虹粗仿宋" w:cs="宋体"/>
          <w:color w:val="333333"/>
          <w:kern w:val="0"/>
          <w:sz w:val="32"/>
          <w:szCs w:val="32"/>
        </w:rPr>
      </w:pPr>
    </w:p>
    <w:p w14:paraId="1A41591D">
      <w:pPr>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尊敬的投资者：</w:t>
      </w:r>
    </w:p>
    <w:p w14:paraId="3B2FBF9B">
      <w:pPr>
        <w:pStyle w:val="4"/>
        <w:snapToGrid w:val="0"/>
        <w:spacing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为更好地为客户提供投资理财服务，建信理财有限责任公司拟对以下产品进行费率优惠，优惠结束时间以后续公告为准，具体内容如下：</w:t>
      </w:r>
    </w:p>
    <w:tbl>
      <w:tblPr>
        <w:tblStyle w:val="6"/>
        <w:tblW w:w="511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9"/>
        <w:gridCol w:w="1950"/>
        <w:gridCol w:w="994"/>
        <w:gridCol w:w="972"/>
        <w:gridCol w:w="1685"/>
      </w:tblGrid>
      <w:tr w14:paraId="3299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4" w:type="pct"/>
            <w:vMerge w:val="restart"/>
            <w:vAlign w:val="center"/>
          </w:tcPr>
          <w:p w14:paraId="246F04F2">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19" w:type="pct"/>
            <w:vMerge w:val="restart"/>
            <w:vAlign w:val="center"/>
          </w:tcPr>
          <w:p w14:paraId="521D88E9">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全国银行业理财信息登记系统编号</w:t>
            </w:r>
          </w:p>
        </w:tc>
        <w:tc>
          <w:tcPr>
            <w:tcW w:w="1128" w:type="pct"/>
            <w:gridSpan w:val="2"/>
            <w:vAlign w:val="center"/>
          </w:tcPr>
          <w:p w14:paraId="521A3A0B">
            <w:pPr>
              <w:autoSpaceDE w:val="0"/>
              <w:autoSpaceDN w:val="0"/>
              <w:adjustRightInd w:val="0"/>
              <w:jc w:val="center"/>
              <w:rPr>
                <w:rFonts w:ascii="彩虹粗仿宋" w:eastAsia="彩虹粗仿宋"/>
                <w:szCs w:val="21"/>
              </w:rPr>
            </w:pPr>
            <w:r>
              <w:rPr>
                <w:rFonts w:hint="eastAsia" w:ascii="彩虹粗仿宋" w:eastAsia="彩虹粗仿宋"/>
                <w:szCs w:val="21"/>
              </w:rPr>
              <w:t>管理费率（年化）</w:t>
            </w:r>
          </w:p>
        </w:tc>
        <w:tc>
          <w:tcPr>
            <w:tcW w:w="967" w:type="pct"/>
            <w:vMerge w:val="restart"/>
            <w:vAlign w:val="center"/>
          </w:tcPr>
          <w:p w14:paraId="5331AB4F">
            <w:pPr>
              <w:pStyle w:val="4"/>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优惠起始日（含）</w:t>
            </w:r>
          </w:p>
        </w:tc>
      </w:tr>
      <w:tr w14:paraId="5922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784" w:type="pct"/>
            <w:vMerge w:val="continue"/>
            <w:vAlign w:val="center"/>
          </w:tcPr>
          <w:p w14:paraId="4CF2CB2E">
            <w:pPr>
              <w:autoSpaceDE w:val="0"/>
              <w:autoSpaceDN w:val="0"/>
              <w:adjustRightInd w:val="0"/>
              <w:jc w:val="center"/>
            </w:pPr>
          </w:p>
        </w:tc>
        <w:tc>
          <w:tcPr>
            <w:tcW w:w="1119" w:type="pct"/>
            <w:vMerge w:val="continue"/>
            <w:vAlign w:val="center"/>
          </w:tcPr>
          <w:p w14:paraId="6B3E051E">
            <w:pPr>
              <w:autoSpaceDE w:val="0"/>
              <w:autoSpaceDN w:val="0"/>
              <w:adjustRightInd w:val="0"/>
              <w:jc w:val="center"/>
            </w:pPr>
          </w:p>
        </w:tc>
        <w:tc>
          <w:tcPr>
            <w:tcW w:w="570" w:type="pct"/>
            <w:vAlign w:val="center"/>
          </w:tcPr>
          <w:p w14:paraId="6BD0A268">
            <w:pPr>
              <w:autoSpaceDE w:val="0"/>
              <w:autoSpaceDN w:val="0"/>
              <w:adjustRightInd w:val="0"/>
              <w:jc w:val="center"/>
              <w:rPr>
                <w:rFonts w:ascii="彩虹粗仿宋" w:eastAsia="彩虹粗仿宋"/>
                <w:szCs w:val="21"/>
              </w:rPr>
            </w:pPr>
            <w:r>
              <w:rPr>
                <w:rFonts w:hint="eastAsia" w:ascii="彩虹粗仿宋" w:eastAsia="彩虹粗仿宋"/>
                <w:szCs w:val="21"/>
              </w:rPr>
              <w:t>优惠前</w:t>
            </w:r>
          </w:p>
        </w:tc>
        <w:tc>
          <w:tcPr>
            <w:tcW w:w="557" w:type="pct"/>
            <w:vAlign w:val="center"/>
          </w:tcPr>
          <w:p w14:paraId="6C53157A">
            <w:pPr>
              <w:autoSpaceDE w:val="0"/>
              <w:autoSpaceDN w:val="0"/>
              <w:adjustRightInd w:val="0"/>
              <w:jc w:val="center"/>
              <w:rPr>
                <w:rFonts w:ascii="彩虹粗仿宋" w:eastAsia="彩虹粗仿宋"/>
                <w:szCs w:val="21"/>
              </w:rPr>
            </w:pPr>
            <w:r>
              <w:rPr>
                <w:rFonts w:hint="eastAsia" w:ascii="彩虹粗仿宋" w:eastAsia="彩虹粗仿宋"/>
                <w:szCs w:val="21"/>
              </w:rPr>
              <w:t>优惠后</w:t>
            </w:r>
          </w:p>
        </w:tc>
        <w:tc>
          <w:tcPr>
            <w:tcW w:w="967" w:type="pct"/>
            <w:vMerge w:val="continue"/>
            <w:vAlign w:val="center"/>
          </w:tcPr>
          <w:p w14:paraId="5FCB56AC">
            <w:pPr>
              <w:autoSpaceDE w:val="0"/>
              <w:autoSpaceDN w:val="0"/>
              <w:adjustRightInd w:val="0"/>
              <w:jc w:val="center"/>
              <w:rPr>
                <w:rFonts w:ascii="彩虹粗仿宋" w:eastAsia="彩虹粗仿宋"/>
                <w:szCs w:val="21"/>
              </w:rPr>
            </w:pPr>
          </w:p>
        </w:tc>
      </w:tr>
      <w:tr w14:paraId="0DC30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4" w:type="pct"/>
            <w:vAlign w:val="center"/>
          </w:tcPr>
          <w:p w14:paraId="4CD0C9B8">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lang w:val="en-US" w:eastAsia="zh-CN"/>
              </w:rPr>
              <w:t>建信理财嘉鑫（稳利）固收类封闭式产品2026年第367期</w:t>
            </w:r>
          </w:p>
        </w:tc>
        <w:tc>
          <w:tcPr>
            <w:tcW w:w="1119" w:type="pct"/>
            <w:vAlign w:val="center"/>
          </w:tcPr>
          <w:p w14:paraId="00D781DF">
            <w:pPr>
              <w:autoSpaceDE w:val="0"/>
              <w:autoSpaceDN w:val="0"/>
              <w:adjustRightInd w:val="0"/>
              <w:jc w:val="center"/>
              <w:rPr>
                <w:rFonts w:hint="eastAsia" w:ascii="彩虹粗仿宋" w:eastAsia="彩虹粗仿宋"/>
                <w:szCs w:val="21"/>
                <w:lang w:val="en-US" w:eastAsia="zh-CN"/>
              </w:rPr>
            </w:pPr>
            <w:r>
              <w:rPr>
                <w:rFonts w:hint="eastAsia" w:ascii="彩虹粗仿宋" w:eastAsia="彩虹粗仿宋"/>
                <w:szCs w:val="21"/>
                <w:lang w:val="en-US" w:eastAsia="zh-CN"/>
              </w:rPr>
              <w:t>Z7000726000403</w:t>
            </w:r>
          </w:p>
        </w:tc>
        <w:tc>
          <w:tcPr>
            <w:tcW w:w="570" w:type="pct"/>
            <w:vAlign w:val="center"/>
          </w:tcPr>
          <w:p w14:paraId="669DFC4F">
            <w:pPr>
              <w:autoSpaceDE w:val="0"/>
              <w:autoSpaceDN w:val="0"/>
              <w:adjustRightInd w:val="0"/>
              <w:jc w:val="center"/>
              <w:rPr>
                <w:rFonts w:ascii="彩虹粗仿宋" w:eastAsia="彩虹粗仿宋"/>
                <w:szCs w:val="21"/>
              </w:rPr>
            </w:pPr>
            <w:r>
              <w:rPr>
                <w:rFonts w:hint="eastAsia" w:ascii="彩虹粗仿宋" w:eastAsia="彩虹粗仿宋"/>
                <w:szCs w:val="21"/>
              </w:rPr>
              <w:t>0.1%</w:t>
            </w:r>
          </w:p>
        </w:tc>
        <w:tc>
          <w:tcPr>
            <w:tcW w:w="557" w:type="pct"/>
            <w:vAlign w:val="center"/>
          </w:tcPr>
          <w:p w14:paraId="2525F0C4">
            <w:pPr>
              <w:autoSpaceDE w:val="0"/>
              <w:autoSpaceDN w:val="0"/>
              <w:adjustRightInd w:val="0"/>
              <w:jc w:val="center"/>
              <w:rPr>
                <w:rFonts w:hint="eastAsia" w:ascii="彩虹粗仿宋" w:eastAsia="彩虹粗仿宋"/>
                <w:szCs w:val="21"/>
              </w:rPr>
            </w:pPr>
            <w:r>
              <w:rPr>
                <w:rFonts w:hint="eastAsia" w:ascii="彩虹粗仿宋" w:eastAsia="彩虹粗仿宋"/>
                <w:szCs w:val="21"/>
                <w:lang w:val="en-US" w:eastAsia="zh-CN"/>
              </w:rPr>
              <w:t>0.01%</w:t>
            </w:r>
          </w:p>
        </w:tc>
        <w:tc>
          <w:tcPr>
            <w:tcW w:w="967" w:type="pct"/>
            <w:vAlign w:val="center"/>
          </w:tcPr>
          <w:p w14:paraId="55E55AA9">
            <w:pPr>
              <w:autoSpaceDE w:val="0"/>
              <w:autoSpaceDN w:val="0"/>
              <w:adjustRightInd w:val="0"/>
              <w:jc w:val="center"/>
              <w:rPr>
                <w:rFonts w:hint="eastAsia" w:ascii="彩虹粗仿宋" w:eastAsia="彩虹粗仿宋"/>
                <w:szCs w:val="21"/>
              </w:rPr>
            </w:pPr>
            <w:r>
              <w:rPr>
                <w:rFonts w:hint="eastAsia" w:ascii="彩虹粗仿宋" w:eastAsia="彩虹粗仿宋"/>
                <w:szCs w:val="21"/>
              </w:rPr>
              <w:t>2026年</w:t>
            </w:r>
            <w:r>
              <w:rPr>
                <w:rFonts w:hint="eastAsia" w:ascii="彩虹粗仿宋" w:eastAsia="彩虹粗仿宋"/>
                <w:szCs w:val="21"/>
                <w:lang w:val="en-US" w:eastAsia="zh-CN"/>
              </w:rPr>
              <w:t>6</w:t>
            </w:r>
            <w:r>
              <w:rPr>
                <w:rFonts w:hint="eastAsia" w:ascii="彩虹粗仿宋" w:eastAsia="彩虹粗仿宋"/>
                <w:szCs w:val="21"/>
              </w:rPr>
              <w:t>月</w:t>
            </w:r>
            <w:r>
              <w:rPr>
                <w:rFonts w:hint="eastAsia" w:ascii="彩虹粗仿宋" w:eastAsia="彩虹粗仿宋"/>
                <w:szCs w:val="21"/>
                <w:lang w:val="en-US" w:eastAsia="zh-CN"/>
              </w:rPr>
              <w:t>30</w:t>
            </w:r>
            <w:r>
              <w:rPr>
                <w:rFonts w:hint="eastAsia" w:ascii="彩虹粗仿宋" w:eastAsia="彩虹粗仿宋"/>
                <w:szCs w:val="21"/>
              </w:rPr>
              <w:t>日</w:t>
            </w:r>
          </w:p>
        </w:tc>
      </w:tr>
    </w:tbl>
    <w:p w14:paraId="7007A37D">
      <w:pPr>
        <w:pStyle w:val="4"/>
        <w:spacing w:before="405" w:beforeLines="130" w:beforeAutospacing="0" w:after="0" w:afterAutospacing="0" w:line="360" w:lineRule="auto"/>
        <w:ind w:firstLine="640" w:firstLineChars="200"/>
        <w:rPr>
          <w:rFonts w:ascii="彩虹粗仿宋" w:hAnsi="微软雅黑" w:eastAsia="彩虹粗仿宋"/>
          <w:color w:val="333333"/>
          <w:sz w:val="32"/>
          <w:szCs w:val="32"/>
        </w:rPr>
      </w:pPr>
      <w:r>
        <w:rPr>
          <w:rFonts w:hint="eastAsia" w:ascii="彩虹粗仿宋" w:hAnsi="微软雅黑" w:eastAsia="彩虹粗仿宋"/>
          <w:color w:val="333333"/>
          <w:sz w:val="32"/>
          <w:szCs w:val="32"/>
        </w:rPr>
        <w:t>本公告未提及事宜，按原产品说明书和风险揭示书的约定执行。</w:t>
      </w:r>
    </w:p>
    <w:p w14:paraId="76D54DDF">
      <w:pPr>
        <w:pStyle w:val="4"/>
        <w:spacing w:before="0" w:beforeAutospacing="0" w:after="0" w:afterAutospacing="0" w:line="360" w:lineRule="auto"/>
        <w:ind w:firstLine="640" w:firstLineChars="200"/>
        <w:rPr>
          <w:rFonts w:ascii="彩虹粗仿宋" w:hAnsi="微软雅黑" w:eastAsia="彩虹粗仿宋"/>
          <w:color w:val="333333"/>
          <w:sz w:val="32"/>
          <w:szCs w:val="32"/>
        </w:rPr>
      </w:pPr>
      <w:r>
        <w:rPr>
          <w:rFonts w:ascii="彩虹粗仿宋" w:hAnsi="微软雅黑" w:eastAsia="彩虹粗仿宋"/>
          <w:color w:val="333333"/>
          <w:sz w:val="32"/>
          <w:szCs w:val="32"/>
        </w:rPr>
        <w:t>建信理财有限责任公司将本着勤勉尽职的原则持续为您提供专业化理财服务。</w:t>
      </w:r>
    </w:p>
    <w:p w14:paraId="1AEC125D">
      <w:pPr>
        <w:spacing w:line="360" w:lineRule="auto"/>
        <w:ind w:firstLine="640" w:firstLineChars="200"/>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特此公告。</w:t>
      </w:r>
    </w:p>
    <w:p w14:paraId="42AA50D7">
      <w:pPr>
        <w:ind w:firstLine="646" w:firstLineChars="202"/>
        <w:rPr>
          <w:rFonts w:ascii="彩虹粗仿宋" w:hAnsi="微软雅黑" w:eastAsia="彩虹粗仿宋" w:cs="宋体"/>
          <w:color w:val="333333"/>
          <w:kern w:val="0"/>
          <w:sz w:val="32"/>
          <w:szCs w:val="32"/>
        </w:rPr>
      </w:pPr>
    </w:p>
    <w:p w14:paraId="70194F75">
      <w:pPr>
        <w:ind w:firstLine="646" w:firstLineChars="202"/>
        <w:jc w:val="right"/>
        <w:rPr>
          <w:rFonts w:ascii="彩虹粗仿宋" w:hAnsi="微软雅黑" w:eastAsia="彩虹粗仿宋" w:cs="宋体"/>
          <w:color w:val="333333"/>
          <w:kern w:val="0"/>
          <w:sz w:val="32"/>
          <w:szCs w:val="32"/>
        </w:rPr>
      </w:pPr>
      <w:r>
        <w:rPr>
          <w:rFonts w:ascii="彩虹粗仿宋" w:hAnsi="微软雅黑" w:eastAsia="彩虹粗仿宋" w:cs="宋体"/>
          <w:color w:val="333333"/>
          <w:kern w:val="0"/>
          <w:sz w:val="32"/>
          <w:szCs w:val="32"/>
        </w:rPr>
        <w:t>建信理财有限责任公司</w:t>
      </w:r>
    </w:p>
    <w:p w14:paraId="160A27A1">
      <w:pPr>
        <w:ind w:firstLine="646" w:firstLineChars="202"/>
        <w:jc w:val="right"/>
        <w:rPr>
          <w:rFonts w:ascii="彩虹粗仿宋" w:hAnsi="微软雅黑" w:eastAsia="彩虹粗仿宋" w:cs="宋体"/>
          <w:color w:val="333333"/>
          <w:kern w:val="0"/>
          <w:sz w:val="32"/>
          <w:szCs w:val="32"/>
        </w:rPr>
      </w:pPr>
      <w:r>
        <w:rPr>
          <w:rFonts w:hint="eastAsia" w:ascii="彩虹粗仿宋" w:hAnsi="微软雅黑" w:eastAsia="彩虹粗仿宋" w:cs="宋体"/>
          <w:color w:val="333333"/>
          <w:kern w:val="0"/>
          <w:sz w:val="32"/>
          <w:szCs w:val="32"/>
        </w:rPr>
        <w:t>2026</w:t>
      </w:r>
      <w:r>
        <w:rPr>
          <w:rFonts w:ascii="彩虹粗仿宋" w:hAnsi="微软雅黑" w:eastAsia="彩虹粗仿宋" w:cs="宋体"/>
          <w:color w:val="333333"/>
          <w:kern w:val="0"/>
          <w:sz w:val="32"/>
          <w:szCs w:val="32"/>
        </w:rPr>
        <w:t xml:space="preserve">年 </w:t>
      </w:r>
      <w:r>
        <w:rPr>
          <w:rFonts w:hint="eastAsia" w:ascii="彩虹粗仿宋" w:hAnsi="微软雅黑" w:eastAsia="彩虹粗仿宋" w:cs="宋体"/>
          <w:color w:val="333333"/>
          <w:kern w:val="0"/>
          <w:sz w:val="32"/>
          <w:szCs w:val="32"/>
          <w:lang w:val="en-US" w:eastAsia="zh-CN"/>
        </w:rPr>
        <w:t>6</w:t>
      </w:r>
      <w:r>
        <w:rPr>
          <w:rFonts w:ascii="彩虹粗仿宋" w:hAnsi="微软雅黑" w:eastAsia="彩虹粗仿宋" w:cs="宋体"/>
          <w:color w:val="333333"/>
          <w:kern w:val="0"/>
          <w:sz w:val="32"/>
          <w:szCs w:val="32"/>
        </w:rPr>
        <w:t>月</w:t>
      </w:r>
      <w:r>
        <w:rPr>
          <w:rFonts w:hint="eastAsia" w:ascii="彩虹粗仿宋" w:hAnsi="微软雅黑" w:eastAsia="彩虹粗仿宋" w:cs="宋体"/>
          <w:color w:val="333333"/>
          <w:kern w:val="0"/>
          <w:sz w:val="32"/>
          <w:szCs w:val="32"/>
          <w:lang w:val="en-US" w:eastAsia="zh-CN"/>
        </w:rPr>
        <w:t>29</w:t>
      </w:r>
      <w:bookmarkStart w:id="0" w:name="_GoBack"/>
      <w:bookmarkEnd w:id="0"/>
      <w:r>
        <w:rPr>
          <w:rFonts w:ascii="彩虹粗仿宋" w:hAnsi="微软雅黑" w:eastAsia="彩虹粗仿宋" w:cs="宋体"/>
          <w:color w:val="333333"/>
          <w:kern w:val="0"/>
          <w:sz w:val="32"/>
          <w:szCs w:val="32"/>
        </w:rPr>
        <w:t>日</w:t>
      </w:r>
    </w:p>
    <w:p w14:paraId="6D9AB87D"/>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彩虹粗仿宋">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2C11"/>
    <w:rsid w:val="00807DB9"/>
    <w:rsid w:val="008863B0"/>
    <w:rsid w:val="00952C11"/>
    <w:rsid w:val="01FF04BB"/>
    <w:rsid w:val="0A1217C2"/>
    <w:rsid w:val="0DC34C5E"/>
    <w:rsid w:val="25E67C21"/>
    <w:rsid w:val="2B3B62EC"/>
    <w:rsid w:val="33487838"/>
    <w:rsid w:val="37F50F75"/>
    <w:rsid w:val="38A7009D"/>
    <w:rsid w:val="46143433"/>
    <w:rsid w:val="47532DA2"/>
    <w:rsid w:val="49553C3F"/>
    <w:rsid w:val="4B440F75"/>
    <w:rsid w:val="4CD346C7"/>
    <w:rsid w:val="50C75131"/>
    <w:rsid w:val="51507157"/>
    <w:rsid w:val="51F34B83"/>
    <w:rsid w:val="52D520B8"/>
    <w:rsid w:val="53321AFE"/>
    <w:rsid w:val="5C875492"/>
    <w:rsid w:val="64BE613B"/>
    <w:rsid w:val="67E4023E"/>
    <w:rsid w:val="68A315FD"/>
    <w:rsid w:val="6B7B5F97"/>
    <w:rsid w:val="6DF734E2"/>
    <w:rsid w:val="777711E0"/>
    <w:rsid w:val="78A56294"/>
    <w:rsid w:val="78E26444"/>
    <w:rsid w:val="7E0A1BD5"/>
    <w:rsid w:val="7ED232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paragraph" w:styleId="3">
    <w:name w:val="heading 3"/>
    <w:basedOn w:val="1"/>
    <w:next w:val="1"/>
    <w:unhideWhenUsed/>
    <w:qFormat/>
    <w:uiPriority w:val="0"/>
    <w:pPr>
      <w:keepNext/>
      <w:keepLines/>
      <w:spacing w:before="260" w:after="260" w:line="413" w:lineRule="auto"/>
      <w:outlineLvl w:val="2"/>
    </w:pPr>
    <w:rPr>
      <w:b/>
      <w:sz w:val="32"/>
    </w:rPr>
  </w:style>
  <w:style w:type="character" w:default="1" w:styleId="7">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85</Words>
  <Characters>485</Characters>
  <Lines>4</Lines>
  <Paragraphs>1</Paragraphs>
  <TotalTime>0</TotalTime>
  <ScaleCrop>false</ScaleCrop>
  <LinksUpToDate>false</LinksUpToDate>
  <CharactersWithSpaces>569</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2026-04-21T01:18:00Z</dcterms:created>
  <dc:creator>jxlc</dc:creator>
  <cp:lastModifiedBy>jxlc</cp:lastModifiedBy>
  <dcterms:modified xsi:type="dcterms:W3CDTF">2026-06-26T05:32:17Z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7FE87D07C0C34DBD9867DC07703404A7_13</vt:lpwstr>
  </property>
</Properties>
</file>