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w:t>
      </w:r>
      <w:r>
        <w:rPr>
          <w:rFonts w:hint="eastAsia" w:ascii="彩虹粗仿宋" w:hAnsi="彩虹粗仿宋" w:eastAsia="彩虹粗仿宋" w:cs="彩虹粗仿宋"/>
          <w:b w:val="0"/>
          <w:bCs/>
          <w:sz w:val="36"/>
          <w:szCs w:val="36"/>
          <w:lang w:eastAsia="zh-CN"/>
        </w:rPr>
        <w:t>建信理财嘉鑫（稳利）固收类封闭式产品2026年第205期</w:t>
      </w:r>
      <w:r>
        <w:rPr>
          <w:rFonts w:hint="eastAsia" w:ascii="彩虹粗仿宋" w:hAnsi="彩虹粗仿宋" w:eastAsia="彩虹粗仿宋" w:cs="彩虹粗仿宋"/>
          <w:b w:val="0"/>
          <w:bCs/>
          <w:sz w:val="36"/>
          <w:szCs w:val="36"/>
        </w:rPr>
        <w:t>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为更好地为客户提供投资理财服务，建信理财有限责任公司拟对以下产品进行费率优惠，优惠结束时间以后续公告为准，具体内容如下：</w:t>
      </w:r>
    </w:p>
    <w:tbl>
      <w:tblPr>
        <w:tblStyle w:val="6"/>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950"/>
        <w:gridCol w:w="994"/>
        <w:gridCol w:w="972"/>
        <w:gridCol w:w="1685"/>
      </w:tblGrid>
      <w:tr w14:paraId="3299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4"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19"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128"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967"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r>
      <w:tr w14:paraId="5922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4" w:type="pct"/>
            <w:vMerge w:val="continue"/>
            <w:vAlign w:val="center"/>
          </w:tcPr>
          <w:p w14:paraId="4CF2CB2E">
            <w:pPr>
              <w:autoSpaceDE w:val="0"/>
              <w:autoSpaceDN w:val="0"/>
              <w:adjustRightInd w:val="0"/>
              <w:jc w:val="center"/>
            </w:pPr>
          </w:p>
        </w:tc>
        <w:tc>
          <w:tcPr>
            <w:tcW w:w="1119" w:type="pct"/>
            <w:vMerge w:val="continue"/>
            <w:vAlign w:val="center"/>
          </w:tcPr>
          <w:p w14:paraId="6B3E051E">
            <w:pPr>
              <w:autoSpaceDE w:val="0"/>
              <w:autoSpaceDN w:val="0"/>
              <w:adjustRightInd w:val="0"/>
              <w:jc w:val="center"/>
            </w:pPr>
          </w:p>
        </w:tc>
        <w:tc>
          <w:tcPr>
            <w:tcW w:w="570"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57"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967" w:type="pct"/>
            <w:vMerge w:val="continue"/>
            <w:vAlign w:val="center"/>
          </w:tcPr>
          <w:p w14:paraId="5FCB56AC">
            <w:pPr>
              <w:autoSpaceDE w:val="0"/>
              <w:autoSpaceDN w:val="0"/>
              <w:adjustRightInd w:val="0"/>
              <w:jc w:val="center"/>
              <w:rPr>
                <w:rFonts w:ascii="彩虹粗仿宋" w:eastAsia="彩虹粗仿宋"/>
                <w:szCs w:val="21"/>
              </w:rPr>
            </w:pPr>
          </w:p>
        </w:tc>
      </w:tr>
      <w:tr w14:paraId="0DC3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vAlign w:val="center"/>
          </w:tcPr>
          <w:p w14:paraId="4CD0C9B8">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lang w:val="en-US" w:eastAsia="zh-CN"/>
              </w:rPr>
              <w:t>建信理财嘉鑫（稳利）固收类封闭式产品2026年第205期</w:t>
            </w:r>
          </w:p>
        </w:tc>
        <w:tc>
          <w:tcPr>
            <w:tcW w:w="1119" w:type="pct"/>
            <w:vAlign w:val="center"/>
          </w:tcPr>
          <w:p w14:paraId="00D781DF">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lang w:val="en-US" w:eastAsia="zh-CN"/>
              </w:rPr>
              <w:t>Z7000726001574</w:t>
            </w:r>
          </w:p>
        </w:tc>
        <w:tc>
          <w:tcPr>
            <w:tcW w:w="570" w:type="pct"/>
            <w:vAlign w:val="center"/>
          </w:tcPr>
          <w:p w14:paraId="669DFC4F">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7" w:type="pct"/>
            <w:vAlign w:val="center"/>
          </w:tcPr>
          <w:p w14:paraId="2525F0C4">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0.01%</w:t>
            </w:r>
          </w:p>
        </w:tc>
        <w:tc>
          <w:tcPr>
            <w:tcW w:w="967" w:type="pct"/>
            <w:vAlign w:val="center"/>
          </w:tcPr>
          <w:p w14:paraId="55E55AA9">
            <w:pPr>
              <w:autoSpaceDE w:val="0"/>
              <w:autoSpaceDN w:val="0"/>
              <w:adjustRightInd w:val="0"/>
              <w:jc w:val="center"/>
              <w:rPr>
                <w:rFonts w:hint="eastAsia" w:ascii="彩虹粗仿宋" w:eastAsia="彩虹粗仿宋"/>
                <w:szCs w:val="21"/>
              </w:rPr>
            </w:pPr>
            <w:r>
              <w:rPr>
                <w:rFonts w:hint="eastAsia" w:ascii="彩虹粗仿宋" w:eastAsia="彩虹粗仿宋"/>
                <w:szCs w:val="21"/>
              </w:rPr>
              <w:t>2026年</w:t>
            </w:r>
            <w:r>
              <w:rPr>
                <w:rFonts w:hint="eastAsia" w:ascii="彩虹粗仿宋" w:eastAsia="彩虹粗仿宋"/>
                <w:szCs w:val="21"/>
                <w:lang w:val="en-US" w:eastAsia="zh-CN"/>
              </w:rPr>
              <w:t>7</w:t>
            </w:r>
            <w:r>
              <w:rPr>
                <w:rFonts w:hint="eastAsia" w:ascii="彩虹粗仿宋" w:eastAsia="彩虹粗仿宋"/>
                <w:szCs w:val="21"/>
              </w:rPr>
              <w:t>月</w:t>
            </w:r>
            <w:r>
              <w:rPr>
                <w:rFonts w:hint="eastAsia" w:ascii="彩虹粗仿宋" w:eastAsia="彩虹粗仿宋"/>
                <w:szCs w:val="21"/>
                <w:lang w:val="en-US" w:eastAsia="zh-CN"/>
              </w:rPr>
              <w:t>8</w:t>
            </w:r>
            <w:r>
              <w:rPr>
                <w:rFonts w:hint="eastAsia" w:ascii="彩虹粗仿宋" w:eastAsia="彩虹粗仿宋"/>
                <w:szCs w:val="21"/>
              </w:rPr>
              <w:t>日</w:t>
            </w:r>
          </w:p>
        </w:tc>
      </w:tr>
    </w:tbl>
    <w:p w14:paraId="7007A37D">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160A27A1">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1</w:t>
      </w:r>
      <w:bookmarkStart w:id="0" w:name="_GoBack"/>
      <w:bookmarkEnd w:id="0"/>
      <w:r>
        <w:rPr>
          <w:rFonts w:ascii="彩虹粗仿宋" w:hAnsi="微软雅黑" w:eastAsia="彩虹粗仿宋" w:cs="宋体"/>
          <w:color w:val="333333"/>
          <w:kern w:val="0"/>
          <w:sz w:val="32"/>
          <w:szCs w:val="32"/>
        </w:rPr>
        <w:t>日</w:t>
      </w:r>
    </w:p>
    <w:p w14:paraId="6D9AB8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807DB9"/>
    <w:rsid w:val="008863B0"/>
    <w:rsid w:val="00952C11"/>
    <w:rsid w:val="01FF04BB"/>
    <w:rsid w:val="0A1217C2"/>
    <w:rsid w:val="0DC34C5E"/>
    <w:rsid w:val="15616BAC"/>
    <w:rsid w:val="18B90630"/>
    <w:rsid w:val="25E67C21"/>
    <w:rsid w:val="2B3B62EC"/>
    <w:rsid w:val="33487838"/>
    <w:rsid w:val="37F50F75"/>
    <w:rsid w:val="38A7009D"/>
    <w:rsid w:val="46143433"/>
    <w:rsid w:val="47532DA2"/>
    <w:rsid w:val="49553C3F"/>
    <w:rsid w:val="4B440F75"/>
    <w:rsid w:val="4CD346C7"/>
    <w:rsid w:val="50C75131"/>
    <w:rsid w:val="51507157"/>
    <w:rsid w:val="51F34B83"/>
    <w:rsid w:val="52D520B8"/>
    <w:rsid w:val="53321AFE"/>
    <w:rsid w:val="5C875492"/>
    <w:rsid w:val="634D7265"/>
    <w:rsid w:val="64BE613B"/>
    <w:rsid w:val="67E4023E"/>
    <w:rsid w:val="68A315FD"/>
    <w:rsid w:val="6B7B5F97"/>
    <w:rsid w:val="6DF734E2"/>
    <w:rsid w:val="777711E0"/>
    <w:rsid w:val="78A56294"/>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Words>
  <Characters>485</Characters>
  <Lines>4</Lines>
  <Paragraphs>1</Paragraphs>
  <TotalTime>0</TotalTime>
  <ScaleCrop>false</ScaleCrop>
  <LinksUpToDate>false</LinksUpToDate>
  <CharactersWithSpaces>569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2026-06-26T05:39:13Z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