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E0C69">
      <w:pPr>
        <w:jc w:val="center"/>
        <w:rPr>
          <w:rFonts w:hint="eastAsia" w:ascii="彩虹小标宋" w:eastAsia="彩虹小标宋"/>
          <w:sz w:val="44"/>
          <w:szCs w:val="44"/>
        </w:rPr>
      </w:pPr>
      <w:r>
        <w:rPr>
          <w:rFonts w:hint="eastAsia" w:ascii="彩虹小标宋" w:eastAsia="彩虹小标宋"/>
          <w:sz w:val="44"/>
          <w:szCs w:val="44"/>
        </w:rPr>
        <w:t>关于</w:t>
      </w:r>
      <w:r>
        <w:rPr>
          <w:rFonts w:hint="eastAsia" w:ascii="彩虹小标宋" w:eastAsia="彩虹小标宋"/>
          <w:sz w:val="44"/>
          <w:szCs w:val="44"/>
          <w:lang w:val="en-US" w:eastAsia="zh-CN"/>
        </w:rPr>
        <w:t>调整</w:t>
      </w:r>
      <w:bookmarkStart w:id="0" w:name="_GoBack"/>
      <w:bookmarkEnd w:id="0"/>
      <w:r>
        <w:rPr>
          <w:rFonts w:hint="eastAsia" w:ascii="彩虹小标宋" w:eastAsia="彩虹小标宋"/>
          <w:sz w:val="44"/>
          <w:szCs w:val="44"/>
        </w:rPr>
        <w:t>建信理财嘉鑫（稳利）固收类最低持有7天产品第30期限制单日申购总份额的公告</w:t>
      </w:r>
    </w:p>
    <w:p w14:paraId="36C48FFA">
      <w:pPr>
        <w:rPr>
          <w:rFonts w:hint="eastAsia" w:ascii="彩虹小标宋" w:eastAsia="彩虹小标宋"/>
          <w:sz w:val="44"/>
          <w:szCs w:val="44"/>
        </w:rPr>
      </w:pPr>
    </w:p>
    <w:p w14:paraId="6F623364">
      <w:pPr>
        <w:rPr>
          <w:rFonts w:ascii="彩虹粗仿宋" w:hAnsi="微软雅黑" w:eastAsia="彩虹粗仿宋" w:cs="宋体"/>
          <w:color w:val="333333"/>
          <w:kern w:val="0"/>
          <w:sz w:val="32"/>
          <w:szCs w:val="32"/>
        </w:rPr>
      </w:pPr>
      <w:r>
        <w:rPr>
          <w:rFonts w:ascii="彩虹粗仿宋" w:hAnsi="微软雅黑" w:eastAsia="彩虹粗仿宋" w:cs="宋体"/>
          <w:color w:val="333333"/>
          <w:kern w:val="0"/>
          <w:sz w:val="32"/>
          <w:szCs w:val="32"/>
        </w:rPr>
        <w:t>尊敬的投资者：</w:t>
      </w:r>
    </w:p>
    <w:p w14:paraId="255A6E67">
      <w:pPr>
        <w:ind w:firstLine="646" w:firstLineChars="202"/>
        <w:rPr>
          <w:rFonts w:ascii="彩虹粗仿宋" w:hAnsi="微软雅黑" w:eastAsia="彩虹粗仿宋" w:cs="宋体"/>
          <w:color w:val="333333"/>
          <w:kern w:val="0"/>
          <w:sz w:val="32"/>
          <w:szCs w:val="32"/>
        </w:rPr>
      </w:pPr>
      <w:r>
        <w:rPr>
          <w:rFonts w:ascii="彩虹粗仿宋" w:hAnsi="微软雅黑" w:eastAsia="彩虹粗仿宋" w:cs="宋体"/>
          <w:color w:val="333333"/>
          <w:kern w:val="0"/>
          <w:sz w:val="32"/>
          <w:szCs w:val="32"/>
        </w:rPr>
        <w:t>为维护产品平稳运作，建信理财有限责任公司调整以下产品交易限额：</w:t>
      </w:r>
    </w:p>
    <w:tbl>
      <w:tblPr>
        <w:tblStyle w:val="4"/>
        <w:tblW w:w="502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7"/>
        <w:gridCol w:w="2088"/>
        <w:gridCol w:w="2164"/>
        <w:gridCol w:w="2014"/>
      </w:tblGrid>
      <w:tr w14:paraId="45BAF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pct"/>
            <w:vAlign w:val="center"/>
          </w:tcPr>
          <w:p w14:paraId="194A2EA0">
            <w:pPr>
              <w:pStyle w:val="2"/>
              <w:snapToGrid w:val="0"/>
              <w:spacing w:before="0" w:beforeAutospacing="0" w:after="0" w:afterAutospacing="0"/>
              <w:jc w:val="center"/>
              <w:rPr>
                <w:rFonts w:ascii="彩虹粗仿宋" w:eastAsia="彩虹粗仿宋" w:hAnsiTheme="minorHAnsi" w:cstheme="minorBidi"/>
                <w:b/>
                <w:bCs/>
                <w:kern w:val="2"/>
                <w:sz w:val="21"/>
                <w:szCs w:val="21"/>
              </w:rPr>
            </w:pPr>
            <w:r>
              <w:rPr>
                <w:rFonts w:hint="eastAsia" w:ascii="彩虹粗仿宋" w:eastAsia="彩虹粗仿宋" w:hAnsiTheme="minorHAnsi" w:cstheme="minorBidi"/>
                <w:b/>
                <w:bCs/>
                <w:kern w:val="2"/>
                <w:sz w:val="21"/>
                <w:szCs w:val="21"/>
              </w:rPr>
              <w:t>产品名称</w:t>
            </w:r>
          </w:p>
        </w:tc>
        <w:tc>
          <w:tcPr>
            <w:tcW w:w="1219" w:type="pct"/>
            <w:vAlign w:val="center"/>
          </w:tcPr>
          <w:p w14:paraId="4DEB755C">
            <w:pPr>
              <w:pStyle w:val="2"/>
              <w:snapToGrid w:val="0"/>
              <w:spacing w:before="0" w:beforeAutospacing="0" w:after="0" w:afterAutospacing="0"/>
              <w:jc w:val="center"/>
              <w:rPr>
                <w:rFonts w:ascii="彩虹粗仿宋" w:eastAsia="彩虹粗仿宋" w:hAnsiTheme="minorHAnsi" w:cstheme="minorBidi"/>
                <w:b/>
                <w:bCs/>
                <w:kern w:val="2"/>
                <w:sz w:val="21"/>
                <w:szCs w:val="21"/>
              </w:rPr>
            </w:pPr>
            <w:r>
              <w:rPr>
                <w:rFonts w:hint="eastAsia" w:ascii="彩虹粗仿宋" w:eastAsia="彩虹粗仿宋" w:hAnsiTheme="minorHAnsi" w:cstheme="minorBidi"/>
                <w:b/>
                <w:bCs/>
                <w:kern w:val="2"/>
                <w:sz w:val="21"/>
                <w:szCs w:val="21"/>
              </w:rPr>
              <w:t>全国银行业理财信息登记系统编号</w:t>
            </w:r>
          </w:p>
        </w:tc>
        <w:tc>
          <w:tcPr>
            <w:tcW w:w="1263" w:type="pct"/>
            <w:vAlign w:val="center"/>
          </w:tcPr>
          <w:p w14:paraId="35447AE0">
            <w:pPr>
              <w:pStyle w:val="2"/>
              <w:snapToGrid w:val="0"/>
              <w:spacing w:before="0" w:beforeAutospacing="0" w:after="0" w:afterAutospacing="0"/>
              <w:jc w:val="center"/>
              <w:rPr>
                <w:rFonts w:ascii="彩虹粗仿宋" w:eastAsia="彩虹粗仿宋" w:hAnsiTheme="minorHAnsi" w:cstheme="minorBidi"/>
                <w:b/>
                <w:bCs/>
                <w:kern w:val="2"/>
                <w:sz w:val="21"/>
                <w:szCs w:val="21"/>
              </w:rPr>
            </w:pPr>
            <w:r>
              <w:rPr>
                <w:rFonts w:hint="eastAsia" w:ascii="彩虹粗仿宋" w:eastAsia="彩虹粗仿宋" w:hAnsiTheme="minorHAnsi" w:cstheme="minorBidi"/>
                <w:b/>
                <w:bCs/>
                <w:kern w:val="2"/>
                <w:sz w:val="21"/>
                <w:szCs w:val="21"/>
              </w:rPr>
              <w:t>单日申购总份额限制</w:t>
            </w:r>
          </w:p>
        </w:tc>
        <w:tc>
          <w:tcPr>
            <w:tcW w:w="1175" w:type="pct"/>
            <w:vAlign w:val="center"/>
          </w:tcPr>
          <w:p w14:paraId="1F2ABDAA">
            <w:pPr>
              <w:pStyle w:val="2"/>
              <w:snapToGrid w:val="0"/>
              <w:spacing w:before="0" w:beforeAutospacing="0" w:after="0" w:afterAutospacing="0"/>
              <w:jc w:val="center"/>
              <w:rPr>
                <w:rFonts w:ascii="彩虹粗仿宋" w:eastAsia="彩虹粗仿宋" w:hAnsiTheme="minorHAnsi" w:cstheme="minorBidi"/>
                <w:b/>
                <w:bCs/>
                <w:kern w:val="2"/>
                <w:sz w:val="21"/>
                <w:szCs w:val="21"/>
              </w:rPr>
            </w:pPr>
            <w:r>
              <w:rPr>
                <w:rFonts w:hint="eastAsia" w:ascii="彩虹粗仿宋" w:eastAsia="彩虹粗仿宋" w:hAnsiTheme="minorHAnsi" w:cstheme="minorBidi"/>
                <w:b/>
                <w:bCs/>
                <w:kern w:val="2"/>
                <w:sz w:val="21"/>
                <w:szCs w:val="21"/>
              </w:rPr>
              <w:t>调整生效日</w:t>
            </w:r>
          </w:p>
        </w:tc>
      </w:tr>
      <w:tr w14:paraId="33FA2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pct"/>
            <w:vAlign w:val="center"/>
          </w:tcPr>
          <w:p w14:paraId="30C43367">
            <w:pPr>
              <w:autoSpaceDE w:val="0"/>
              <w:autoSpaceDN w:val="0"/>
              <w:adjustRightInd w:val="0"/>
              <w:jc w:val="center"/>
              <w:rPr>
                <w:rFonts w:ascii="彩虹粗仿宋" w:eastAsia="彩虹粗仿宋" w:hAnsiTheme="minorHAnsi" w:cstheme="minorBidi"/>
                <w:kern w:val="2"/>
                <w:sz w:val="21"/>
                <w:szCs w:val="21"/>
              </w:rPr>
            </w:pPr>
            <w:r>
              <w:rPr>
                <w:rFonts w:hint="eastAsia" w:ascii="彩虹粗仿宋" w:eastAsia="彩虹粗仿宋"/>
                <w:szCs w:val="21"/>
                <w:highlight w:val="none"/>
                <w:lang w:val="en-US" w:eastAsia="zh-CN"/>
              </w:rPr>
              <w:t>建信理财嘉鑫（稳利）固收类最低持有7天产品第30期</w:t>
            </w:r>
          </w:p>
        </w:tc>
        <w:tc>
          <w:tcPr>
            <w:tcW w:w="1219" w:type="pct"/>
            <w:vAlign w:val="center"/>
          </w:tcPr>
          <w:p w14:paraId="71F4C6E3">
            <w:pPr>
              <w:autoSpaceDE w:val="0"/>
              <w:autoSpaceDN w:val="0"/>
              <w:adjustRightInd w:val="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Z7000726001195</w:t>
            </w:r>
          </w:p>
        </w:tc>
        <w:tc>
          <w:tcPr>
            <w:tcW w:w="1263" w:type="pct"/>
            <w:vAlign w:val="center"/>
          </w:tcPr>
          <w:p w14:paraId="5FA9166F">
            <w:pPr>
              <w:autoSpaceDE w:val="0"/>
              <w:autoSpaceDN w:val="0"/>
              <w:adjustRightInd w:val="0"/>
              <w:jc w:val="center"/>
              <w:rPr>
                <w:rFonts w:hint="eastAsia" w:ascii="彩虹粗仿宋" w:eastAsia="彩虹粗仿宋" w:hAnsiTheme="minorHAnsi" w:cstheme="minorBidi"/>
                <w:kern w:val="2"/>
                <w:sz w:val="21"/>
                <w:szCs w:val="21"/>
                <w:lang w:val="en-US" w:eastAsia="zh-CN"/>
              </w:rPr>
            </w:pPr>
            <w:r>
              <w:rPr>
                <w:rFonts w:hint="eastAsia" w:ascii="彩虹粗仿宋" w:hAnsi="彩虹粗仿宋" w:eastAsia="彩虹粗仿宋" w:cs="彩虹粗仿宋"/>
                <w:sz w:val="21"/>
                <w:szCs w:val="21"/>
              </w:rPr>
              <w:t>不超过</w:t>
            </w:r>
            <w:r>
              <w:rPr>
                <w:rFonts w:hint="eastAsia" w:ascii="彩虹粗仿宋" w:hAnsi="彩虹粗仿宋" w:eastAsia="彩虹粗仿宋" w:cs="彩虹粗仿宋"/>
                <w:sz w:val="21"/>
                <w:szCs w:val="21"/>
                <w:lang w:val="en-US" w:eastAsia="zh-CN"/>
              </w:rPr>
              <w:t>0</w:t>
            </w:r>
            <w:r>
              <w:rPr>
                <w:rFonts w:hint="eastAsia" w:ascii="彩虹粗仿宋" w:hAnsi="彩虹粗仿宋" w:eastAsia="彩虹粗仿宋" w:cs="彩虹粗仿宋"/>
                <w:sz w:val="21"/>
                <w:szCs w:val="21"/>
              </w:rPr>
              <w:t>份</w:t>
            </w:r>
          </w:p>
        </w:tc>
        <w:tc>
          <w:tcPr>
            <w:tcW w:w="1175" w:type="pct"/>
            <w:vAlign w:val="center"/>
          </w:tcPr>
          <w:p w14:paraId="74CE9369">
            <w:pPr>
              <w:pStyle w:val="2"/>
              <w:snapToGrid w:val="0"/>
              <w:spacing w:line="460" w:lineRule="atLeast"/>
              <w:jc w:val="center"/>
              <w:rPr>
                <w:rFonts w:ascii="彩虹粗仿宋" w:eastAsia="彩虹粗仿宋" w:hAnsiTheme="minorHAnsi" w:cstheme="minorBidi"/>
                <w:kern w:val="2"/>
                <w:sz w:val="21"/>
                <w:szCs w:val="21"/>
              </w:rPr>
            </w:pPr>
            <w:r>
              <w:rPr>
                <w:rFonts w:hint="eastAsia" w:ascii="彩虹粗仿宋" w:hAnsi="彩虹粗仿宋" w:eastAsia="彩虹粗仿宋" w:cs="彩虹粗仿宋"/>
                <w:sz w:val="21"/>
                <w:szCs w:val="21"/>
              </w:rPr>
              <w:t>202</w:t>
            </w:r>
            <w:r>
              <w:rPr>
                <w:rFonts w:hint="eastAsia" w:ascii="彩虹粗仿宋" w:hAnsi="彩虹粗仿宋" w:eastAsia="彩虹粗仿宋" w:cs="彩虹粗仿宋"/>
                <w:sz w:val="21"/>
                <w:szCs w:val="21"/>
                <w:lang w:val="en-US" w:eastAsia="zh-CN"/>
              </w:rPr>
              <w:t>6</w:t>
            </w:r>
            <w:r>
              <w:rPr>
                <w:rFonts w:hint="eastAsia" w:ascii="彩虹粗仿宋" w:hAnsi="彩虹粗仿宋" w:eastAsia="彩虹粗仿宋" w:cs="彩虹粗仿宋"/>
                <w:sz w:val="21"/>
                <w:szCs w:val="21"/>
              </w:rPr>
              <w:t>年</w:t>
            </w:r>
            <w:r>
              <w:rPr>
                <w:rFonts w:hint="eastAsia" w:ascii="彩虹粗仿宋" w:hAnsi="彩虹粗仿宋" w:eastAsia="彩虹粗仿宋" w:cs="彩虹粗仿宋"/>
                <w:sz w:val="21"/>
                <w:szCs w:val="21"/>
                <w:lang w:val="en-US" w:eastAsia="zh-CN"/>
              </w:rPr>
              <w:t>7</w:t>
            </w:r>
            <w:r>
              <w:rPr>
                <w:rFonts w:hint="eastAsia" w:ascii="彩虹粗仿宋" w:hAnsi="彩虹粗仿宋" w:eastAsia="彩虹粗仿宋" w:cs="彩虹粗仿宋"/>
                <w:sz w:val="21"/>
                <w:szCs w:val="21"/>
              </w:rPr>
              <w:t>月</w:t>
            </w:r>
            <w:r>
              <w:rPr>
                <w:rFonts w:hint="eastAsia" w:ascii="彩虹粗仿宋" w:hAnsi="彩虹粗仿宋" w:eastAsia="彩虹粗仿宋" w:cs="彩虹粗仿宋"/>
                <w:sz w:val="21"/>
                <w:szCs w:val="21"/>
                <w:lang w:val="en-US" w:eastAsia="zh-CN"/>
              </w:rPr>
              <w:t>8</w:t>
            </w:r>
            <w:r>
              <w:rPr>
                <w:rFonts w:hint="eastAsia" w:ascii="彩虹粗仿宋" w:hAnsi="彩虹粗仿宋" w:eastAsia="彩虹粗仿宋" w:cs="彩虹粗仿宋"/>
                <w:sz w:val="21"/>
                <w:szCs w:val="21"/>
              </w:rPr>
              <w:t>日</w:t>
            </w:r>
          </w:p>
        </w:tc>
      </w:tr>
    </w:tbl>
    <w:p w14:paraId="53A711BD">
      <w:pPr>
        <w:pStyle w:val="2"/>
        <w:spacing w:before="0" w:beforeAutospacing="0" w:after="0" w:afterAutospacing="0" w:line="360" w:lineRule="auto"/>
        <w:ind w:firstLine="420"/>
        <w:rPr>
          <w:rFonts w:ascii="彩虹粗仿宋" w:hAnsi="微软雅黑" w:eastAsia="彩虹粗仿宋"/>
          <w:color w:val="333333"/>
          <w:sz w:val="32"/>
          <w:szCs w:val="32"/>
        </w:rPr>
      </w:pPr>
      <w:r>
        <w:rPr>
          <w:rFonts w:hint="eastAsia" w:ascii="彩虹粗仿宋" w:hAnsi="微软雅黑" w:eastAsia="彩虹粗仿宋"/>
          <w:color w:val="333333"/>
          <w:sz w:val="32"/>
          <w:szCs w:val="32"/>
        </w:rPr>
        <w:t>本公告未提及事宜，按原产品说明书和风险揭示书的约定执行。</w:t>
      </w:r>
    </w:p>
    <w:p w14:paraId="1E2ADF15">
      <w:pPr>
        <w:ind w:firstLine="646" w:firstLineChars="202"/>
        <w:rPr>
          <w:rFonts w:ascii="彩虹粗仿宋" w:hAnsi="微软雅黑" w:eastAsia="彩虹粗仿宋" w:cs="宋体"/>
          <w:color w:val="333333"/>
          <w:kern w:val="0"/>
          <w:sz w:val="32"/>
          <w:szCs w:val="32"/>
        </w:rPr>
      </w:pPr>
      <w:r>
        <w:rPr>
          <w:rFonts w:ascii="彩虹粗仿宋" w:hAnsi="微软雅黑" w:eastAsia="彩虹粗仿宋" w:cs="宋体"/>
          <w:color w:val="333333"/>
          <w:kern w:val="0"/>
          <w:sz w:val="32"/>
          <w:szCs w:val="32"/>
        </w:rPr>
        <w:t>建信理财有限责任公司将本着勤勉尽职的原则持续为您提供专业化理财服务。</w:t>
      </w:r>
    </w:p>
    <w:p w14:paraId="6DBCE29F">
      <w:pPr>
        <w:ind w:firstLine="646" w:firstLineChars="202"/>
        <w:rPr>
          <w:rFonts w:ascii="彩虹粗仿宋" w:hAnsi="微软雅黑" w:eastAsia="彩虹粗仿宋" w:cs="宋体"/>
          <w:color w:val="333333"/>
          <w:kern w:val="0"/>
          <w:sz w:val="32"/>
          <w:szCs w:val="32"/>
        </w:rPr>
      </w:pPr>
      <w:r>
        <w:rPr>
          <w:rFonts w:hint="eastAsia" w:ascii="彩虹粗仿宋" w:hAnsi="微软雅黑" w:eastAsia="彩虹粗仿宋" w:cs="宋体"/>
          <w:color w:val="333333"/>
          <w:kern w:val="0"/>
          <w:sz w:val="32"/>
          <w:szCs w:val="32"/>
        </w:rPr>
        <w:t>特此公告。</w:t>
      </w:r>
    </w:p>
    <w:p w14:paraId="024EDE3C">
      <w:pPr>
        <w:ind w:firstLine="646" w:firstLineChars="202"/>
        <w:rPr>
          <w:rFonts w:ascii="彩虹粗仿宋" w:hAnsi="微软雅黑" w:eastAsia="彩虹粗仿宋" w:cs="宋体"/>
          <w:color w:val="333333"/>
          <w:kern w:val="0"/>
          <w:sz w:val="32"/>
          <w:szCs w:val="32"/>
        </w:rPr>
      </w:pPr>
    </w:p>
    <w:p w14:paraId="26B049A3">
      <w:pPr>
        <w:ind w:firstLine="646" w:firstLineChars="202"/>
        <w:jc w:val="right"/>
        <w:rPr>
          <w:rFonts w:ascii="彩虹粗仿宋" w:hAnsi="微软雅黑" w:eastAsia="彩虹粗仿宋" w:cs="宋体"/>
          <w:color w:val="333333"/>
          <w:kern w:val="0"/>
          <w:sz w:val="32"/>
          <w:szCs w:val="32"/>
        </w:rPr>
      </w:pPr>
      <w:r>
        <w:rPr>
          <w:rFonts w:ascii="彩虹粗仿宋" w:hAnsi="微软雅黑" w:eastAsia="彩虹粗仿宋" w:cs="宋体"/>
          <w:color w:val="333333"/>
          <w:kern w:val="0"/>
          <w:sz w:val="32"/>
          <w:szCs w:val="32"/>
        </w:rPr>
        <w:t>建信理财有限责任公司</w:t>
      </w:r>
    </w:p>
    <w:p w14:paraId="5405C1A4">
      <w:pPr>
        <w:ind w:firstLine="646" w:firstLineChars="202"/>
        <w:jc w:val="right"/>
        <w:rPr>
          <w:rFonts w:ascii="彩虹粗仿宋" w:hAnsi="微软雅黑" w:eastAsia="彩虹粗仿宋" w:cs="宋体"/>
          <w:color w:val="333333"/>
          <w:kern w:val="0"/>
          <w:sz w:val="32"/>
          <w:szCs w:val="32"/>
        </w:rPr>
      </w:pPr>
      <w:r>
        <w:rPr>
          <w:rFonts w:hint="eastAsia" w:ascii="彩虹粗仿宋" w:hAnsi="微软雅黑" w:eastAsia="彩虹粗仿宋" w:cs="宋体"/>
          <w:color w:val="333333"/>
          <w:kern w:val="0"/>
          <w:sz w:val="32"/>
          <w:szCs w:val="32"/>
          <w:lang w:val="en-US" w:eastAsia="zh-CN"/>
        </w:rPr>
        <w:t>2026</w:t>
      </w:r>
      <w:r>
        <w:rPr>
          <w:rFonts w:ascii="彩虹粗仿宋" w:hAnsi="微软雅黑" w:eastAsia="彩虹粗仿宋" w:cs="宋体"/>
          <w:color w:val="333333"/>
          <w:kern w:val="0"/>
          <w:sz w:val="32"/>
          <w:szCs w:val="32"/>
        </w:rPr>
        <w:t xml:space="preserve">年 </w:t>
      </w:r>
      <w:r>
        <w:rPr>
          <w:rFonts w:hint="eastAsia" w:ascii="彩虹粗仿宋" w:hAnsi="微软雅黑" w:eastAsia="彩虹粗仿宋" w:cs="宋体"/>
          <w:color w:val="333333"/>
          <w:kern w:val="0"/>
          <w:sz w:val="32"/>
          <w:szCs w:val="32"/>
          <w:lang w:val="en-US" w:eastAsia="zh-CN"/>
        </w:rPr>
        <w:t>7</w:t>
      </w:r>
      <w:r>
        <w:rPr>
          <w:rFonts w:ascii="彩虹粗仿宋" w:hAnsi="微软雅黑" w:eastAsia="彩虹粗仿宋" w:cs="宋体"/>
          <w:color w:val="333333"/>
          <w:kern w:val="0"/>
          <w:sz w:val="32"/>
          <w:szCs w:val="32"/>
        </w:rPr>
        <w:t xml:space="preserve">月 </w:t>
      </w:r>
      <w:r>
        <w:rPr>
          <w:rFonts w:hint="eastAsia" w:ascii="彩虹粗仿宋" w:hAnsi="微软雅黑" w:eastAsia="彩虹粗仿宋" w:cs="宋体"/>
          <w:color w:val="333333"/>
          <w:kern w:val="0"/>
          <w:sz w:val="32"/>
          <w:szCs w:val="32"/>
          <w:lang w:val="en-US" w:eastAsia="zh-CN"/>
        </w:rPr>
        <w:t>8</w:t>
      </w:r>
      <w:r>
        <w:rPr>
          <w:rFonts w:ascii="彩虹粗仿宋" w:hAnsi="微软雅黑" w:eastAsia="彩虹粗仿宋" w:cs="宋体"/>
          <w:color w:val="333333"/>
          <w:kern w:val="0"/>
          <w:sz w:val="32"/>
          <w:szCs w:val="32"/>
        </w:rPr>
        <w:t>日</w:t>
      </w:r>
    </w:p>
    <w:p w14:paraId="0E17C65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0360DD"/>
    <w:rsid w:val="0A13264C"/>
    <w:rsid w:val="0F214A20"/>
    <w:rsid w:val="10F1423F"/>
    <w:rsid w:val="142D0FD0"/>
    <w:rsid w:val="193058E6"/>
    <w:rsid w:val="1CCC1444"/>
    <w:rsid w:val="23377EE9"/>
    <w:rsid w:val="34B232D3"/>
    <w:rsid w:val="356C58AF"/>
    <w:rsid w:val="36C16ACA"/>
    <w:rsid w:val="379A43F9"/>
    <w:rsid w:val="3BFC30F4"/>
    <w:rsid w:val="414B67C3"/>
    <w:rsid w:val="41EE4ADF"/>
    <w:rsid w:val="42905890"/>
    <w:rsid w:val="5479430F"/>
    <w:rsid w:val="5AEA571F"/>
    <w:rsid w:val="6DFF7482"/>
    <w:rsid w:val="71915F81"/>
    <w:rsid w:val="79C92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4">
    <w:name w:val="Table Grid"/>
    <w:basedOn w:val="3"/>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2026-05-12T01:44:00Z</dcterms:created>
  <dc:creator>jxlc</dc:creator>
  <cp:lastModifiedBy>jxlc</cp:lastModifiedBy>
  <dcterms:modified xsi:type="dcterms:W3CDTF">2026-07-08T06:11:46Z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909D355D215C44C48CE560430FBF99AA_12</vt:lpwstr>
  </property>
</Properties>
</file>