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0C69">
      <w:pPr>
        <w:jc w:val="center"/>
        <w:rPr>
          <w:rFonts w:hint="eastAsia" w:ascii="彩虹小标宋" w:eastAsia="彩虹小标宋"/>
          <w:sz w:val="44"/>
          <w:szCs w:val="44"/>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建信理财嘉鑫（稳利）固收类最低持有7天产品第30期限制单日申购总份额的公告</w:t>
      </w:r>
    </w:p>
    <w:p w14:paraId="36C48FFA">
      <w:pPr>
        <w:rPr>
          <w:rFonts w:hint="eastAsia" w:ascii="彩虹小标宋" w:eastAsia="彩虹小标宋"/>
          <w:sz w:val="44"/>
          <w:szCs w:val="44"/>
        </w:rPr>
      </w:pPr>
    </w:p>
    <w:p w14:paraId="6F623364">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255A6E67">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为维护产品平稳运作，建信理财有限责任公司调整以下产品交易限额：</w:t>
      </w:r>
    </w:p>
    <w:tbl>
      <w:tblPr>
        <w:tblStyle w:val="4"/>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088"/>
        <w:gridCol w:w="2164"/>
        <w:gridCol w:w="2014"/>
      </w:tblGrid>
      <w:tr w14:paraId="45BA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194A2EA0">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产品名称</w:t>
            </w:r>
          </w:p>
        </w:tc>
        <w:tc>
          <w:tcPr>
            <w:tcW w:w="1219" w:type="pct"/>
            <w:vAlign w:val="center"/>
          </w:tcPr>
          <w:p w14:paraId="4DEB755C">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全国银行业理财信息登记系统编号</w:t>
            </w:r>
          </w:p>
        </w:tc>
        <w:tc>
          <w:tcPr>
            <w:tcW w:w="1263" w:type="pct"/>
            <w:vAlign w:val="center"/>
          </w:tcPr>
          <w:p w14:paraId="35447AE0">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单日申购总份额限制</w:t>
            </w:r>
          </w:p>
        </w:tc>
        <w:tc>
          <w:tcPr>
            <w:tcW w:w="1175" w:type="pct"/>
            <w:vAlign w:val="center"/>
          </w:tcPr>
          <w:p w14:paraId="1F2ABDAA">
            <w:pPr>
              <w:pStyle w:val="2"/>
              <w:snapToGrid w:val="0"/>
              <w:spacing w:before="0" w:beforeAutospacing="0" w:after="0" w:afterAutospacing="0"/>
              <w:jc w:val="center"/>
              <w:rPr>
                <w:rFonts w:ascii="彩虹粗仿宋" w:eastAsia="彩虹粗仿宋" w:hAnsiTheme="minorHAnsi" w:cstheme="minorBidi"/>
                <w:b/>
                <w:bCs/>
                <w:kern w:val="2"/>
                <w:sz w:val="21"/>
                <w:szCs w:val="21"/>
              </w:rPr>
            </w:pPr>
            <w:r>
              <w:rPr>
                <w:rFonts w:hint="eastAsia" w:ascii="彩虹粗仿宋" w:eastAsia="彩虹粗仿宋" w:hAnsiTheme="minorHAnsi" w:cstheme="minorBidi"/>
                <w:b/>
                <w:bCs/>
                <w:kern w:val="2"/>
                <w:sz w:val="21"/>
                <w:szCs w:val="21"/>
              </w:rPr>
              <w:t>调整生效日</w:t>
            </w:r>
          </w:p>
        </w:tc>
      </w:tr>
      <w:tr w14:paraId="33FA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pct"/>
            <w:vAlign w:val="center"/>
          </w:tcPr>
          <w:p w14:paraId="30C43367">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szCs w:val="21"/>
                <w:highlight w:val="none"/>
                <w:lang w:val="en-US" w:eastAsia="zh-CN"/>
              </w:rPr>
              <w:t>建信理财嘉鑫（稳利）固收类最低持有7天产品第30期</w:t>
            </w:r>
          </w:p>
        </w:tc>
        <w:tc>
          <w:tcPr>
            <w:tcW w:w="1219" w:type="pct"/>
            <w:vAlign w:val="center"/>
          </w:tcPr>
          <w:p w14:paraId="71F4C6E3">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Z7000726001195</w:t>
            </w:r>
          </w:p>
        </w:tc>
        <w:tc>
          <w:tcPr>
            <w:tcW w:w="1263" w:type="pct"/>
            <w:vAlign w:val="center"/>
          </w:tcPr>
          <w:p w14:paraId="5FA9166F">
            <w:pPr>
              <w:autoSpaceDE w:val="0"/>
              <w:autoSpaceDN w:val="0"/>
              <w:adjustRightInd w:val="0"/>
              <w:jc w:val="center"/>
              <w:rPr>
                <w:rFonts w:hint="eastAsia" w:ascii="彩虹粗仿宋" w:eastAsia="彩虹粗仿宋" w:hAnsiTheme="minorHAnsi" w:cstheme="minorBidi"/>
                <w:kern w:val="2"/>
                <w:sz w:val="21"/>
                <w:szCs w:val="21"/>
                <w:lang w:val="en-US" w:eastAsia="zh-CN"/>
              </w:rPr>
            </w:pPr>
            <w:r>
              <w:rPr>
                <w:rFonts w:hint="eastAsia" w:ascii="彩虹粗仿宋" w:hAnsi="彩虹粗仿宋" w:eastAsia="彩虹粗仿宋" w:cs="彩虹粗仿宋"/>
                <w:szCs w:val="21"/>
              </w:rPr>
              <w:t>不超过100万份</w:t>
            </w:r>
          </w:p>
        </w:tc>
        <w:tc>
          <w:tcPr>
            <w:tcW w:w="1175" w:type="pct"/>
            <w:vAlign w:val="center"/>
          </w:tcPr>
          <w:p w14:paraId="74CE9369">
            <w:pPr>
              <w:pStyle w:val="2"/>
              <w:snapToGrid w:val="0"/>
              <w:spacing w:line="460" w:lineRule="atLeast"/>
              <w:jc w:val="center"/>
              <w:rPr>
                <w:rFonts w:ascii="彩虹粗仿宋" w:eastAsia="彩虹粗仿宋" w:hAnsiTheme="minorHAnsi" w:cstheme="minorBidi"/>
                <w:kern w:val="2"/>
                <w:sz w:val="21"/>
                <w:szCs w:val="21"/>
              </w:rPr>
            </w:pPr>
            <w:r>
              <w:rPr>
                <w:rFonts w:hint="eastAsia" w:ascii="彩虹粗仿宋" w:hAnsi="彩虹粗仿宋" w:eastAsia="彩虹粗仿宋" w:cs="彩虹粗仿宋"/>
                <w:sz w:val="21"/>
                <w:szCs w:val="21"/>
              </w:rPr>
              <w:t>202</w:t>
            </w:r>
            <w:r>
              <w:rPr>
                <w:rFonts w:hint="eastAsia" w:ascii="彩虹粗仿宋" w:hAnsi="彩虹粗仿宋" w:eastAsia="彩虹粗仿宋" w:cs="彩虹粗仿宋"/>
                <w:sz w:val="21"/>
                <w:szCs w:val="21"/>
                <w:lang w:val="en-US" w:eastAsia="zh-CN"/>
              </w:rPr>
              <w:t>6</w:t>
            </w:r>
            <w:r>
              <w:rPr>
                <w:rFonts w:hint="eastAsia" w:ascii="彩虹粗仿宋" w:hAnsi="彩虹粗仿宋" w:eastAsia="彩虹粗仿宋" w:cs="彩虹粗仿宋"/>
                <w:sz w:val="21"/>
                <w:szCs w:val="21"/>
              </w:rPr>
              <w:t>年</w:t>
            </w:r>
            <w:r>
              <w:rPr>
                <w:rFonts w:hint="eastAsia" w:ascii="彩虹粗仿宋" w:hAnsi="彩虹粗仿宋" w:eastAsia="彩虹粗仿宋" w:cs="彩虹粗仿宋"/>
                <w:sz w:val="21"/>
                <w:szCs w:val="21"/>
                <w:lang w:val="en-US" w:eastAsia="zh-CN"/>
              </w:rPr>
              <w:t>7</w:t>
            </w:r>
            <w:r>
              <w:rPr>
                <w:rFonts w:hint="eastAsia" w:ascii="彩虹粗仿宋" w:hAnsi="彩虹粗仿宋" w:eastAsia="彩虹粗仿宋" w:cs="彩虹粗仿宋"/>
                <w:sz w:val="21"/>
                <w:szCs w:val="21"/>
              </w:rPr>
              <w:t>月</w:t>
            </w:r>
            <w:r>
              <w:rPr>
                <w:rFonts w:hint="eastAsia" w:ascii="彩虹粗仿宋" w:hAnsi="彩虹粗仿宋" w:eastAsia="彩虹粗仿宋" w:cs="彩虹粗仿宋"/>
                <w:sz w:val="21"/>
                <w:szCs w:val="21"/>
                <w:lang w:val="en-US" w:eastAsia="zh-CN"/>
              </w:rPr>
              <w:t>9</w:t>
            </w:r>
            <w:r>
              <w:rPr>
                <w:rFonts w:hint="eastAsia" w:ascii="彩虹粗仿宋" w:hAnsi="彩虹粗仿宋" w:eastAsia="彩虹粗仿宋" w:cs="彩虹粗仿宋"/>
                <w:sz w:val="21"/>
                <w:szCs w:val="21"/>
              </w:rPr>
              <w:t>日</w:t>
            </w:r>
          </w:p>
        </w:tc>
      </w:tr>
    </w:tbl>
    <w:p w14:paraId="53A711BD">
      <w:pPr>
        <w:pStyle w:val="2"/>
        <w:spacing w:before="0" w:beforeAutospacing="0" w:after="0" w:afterAutospacing="0" w:line="360" w:lineRule="auto"/>
        <w:ind w:firstLine="42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1E2ADF15">
      <w:pPr>
        <w:ind w:firstLine="646" w:firstLineChars="202"/>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建信理财有限责任公司将本着勤勉尽职的原则持续为您提供专业化理财服务。</w:t>
      </w:r>
    </w:p>
    <w:p w14:paraId="6DBCE29F">
      <w:pPr>
        <w:ind w:firstLine="646" w:firstLineChars="202"/>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024EDE3C">
      <w:pPr>
        <w:ind w:firstLine="646" w:firstLineChars="202"/>
        <w:rPr>
          <w:rFonts w:ascii="彩虹粗仿宋" w:hAnsi="微软雅黑" w:eastAsia="彩虹粗仿宋" w:cs="宋体"/>
          <w:color w:val="333333"/>
          <w:kern w:val="0"/>
          <w:sz w:val="32"/>
          <w:szCs w:val="32"/>
        </w:rPr>
      </w:pPr>
    </w:p>
    <w:p w14:paraId="26B049A3">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405C1A4">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lang w:val="en-US" w:eastAsia="zh-CN"/>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9</w:t>
      </w:r>
      <w:bookmarkStart w:id="0" w:name="_GoBack"/>
      <w:bookmarkEnd w:id="0"/>
      <w:r>
        <w:rPr>
          <w:rFonts w:ascii="彩虹粗仿宋" w:hAnsi="微软雅黑" w:eastAsia="彩虹粗仿宋" w:cs="宋体"/>
          <w:color w:val="333333"/>
          <w:kern w:val="0"/>
          <w:sz w:val="32"/>
          <w:szCs w:val="32"/>
        </w:rPr>
        <w:t>日</w:t>
      </w:r>
    </w:p>
    <w:p w14:paraId="0E17C6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360DD"/>
    <w:rsid w:val="0A13264C"/>
    <w:rsid w:val="0F214A20"/>
    <w:rsid w:val="10F1423F"/>
    <w:rsid w:val="142D0FD0"/>
    <w:rsid w:val="193058E6"/>
    <w:rsid w:val="1CCC1444"/>
    <w:rsid w:val="23377EE9"/>
    <w:rsid w:val="2398189B"/>
    <w:rsid w:val="34B232D3"/>
    <w:rsid w:val="356C58AF"/>
    <w:rsid w:val="36C16ACA"/>
    <w:rsid w:val="379A43F9"/>
    <w:rsid w:val="3BFC30F4"/>
    <w:rsid w:val="414B67C3"/>
    <w:rsid w:val="41EE4ADF"/>
    <w:rsid w:val="42905890"/>
    <w:rsid w:val="5067474D"/>
    <w:rsid w:val="5479430F"/>
    <w:rsid w:val="5AEA571F"/>
    <w:rsid w:val="6DFF7482"/>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2026-05-12T01:44:00Z</dcterms:created>
  <dc:creator>jxlc</dc:creator>
  <cp:lastModifiedBy>jxlc</cp:lastModifiedBy>
  <dcterms:modified xsi:type="dcterms:W3CDTF">2026-07-09T08:35:12Z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