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C9BF4D">
      <w:pPr>
        <w:pStyle w:val="17"/>
        <w:numPr>
          <w:ilvl w:val="0"/>
          <w:numId w:val="0"/>
        </w:numPr>
        <w:ind w:leftChars="0"/>
        <w:jc w:val="center"/>
        <w:rPr>
          <w:rFonts w:hint="eastAsia" w:ascii="彩虹小标宋" w:eastAsia="彩虹小标宋"/>
          <w:sz w:val="44"/>
          <w:szCs w:val="44"/>
          <w:lang w:val="en-US" w:eastAsia="zh-CN"/>
        </w:rPr>
      </w:pPr>
      <w:r>
        <w:rPr>
          <w:rFonts w:hint="eastAsia" w:ascii="彩虹小标宋" w:eastAsia="彩虹小标宋"/>
          <w:sz w:val="44"/>
          <w:szCs w:val="44"/>
          <w:lang w:val="en-US" w:eastAsia="zh-CN"/>
        </w:rPr>
        <w:t>关于调整</w:t>
      </w:r>
      <w:r>
        <w:rPr>
          <w:rFonts w:hint="eastAsia" w:ascii="彩虹小标宋" w:eastAsia="彩虹小标宋"/>
          <w:sz w:val="44"/>
          <w:szCs w:val="44"/>
        </w:rPr>
        <w:t>建信理财龙鑫（打新增强）固收类最低持有30天产品第2期销售区域公告-JXLX30DGS26514002</w:t>
      </w:r>
    </w:p>
    <w:p w14:paraId="32562817">
      <w:pPr>
        <w:pStyle w:val="17"/>
        <w:numPr>
          <w:ilvl w:val="0"/>
          <w:numId w:val="0"/>
        </w:numPr>
        <w:ind w:leftChars="0"/>
        <w:jc w:val="center"/>
        <w:rPr>
          <w:rFonts w:hint="eastAsia" w:ascii="彩虹小标宋" w:eastAsia="彩虹小标宋"/>
          <w:sz w:val="44"/>
          <w:szCs w:val="44"/>
        </w:rPr>
      </w:pPr>
    </w:p>
    <w:p w14:paraId="5BBCD5B9">
      <w:pPr>
        <w:spacing w:line="560" w:lineRule="exact"/>
        <w:rPr>
          <w:rFonts w:hint="eastAsia" w:ascii="彩虹粗仿宋" w:eastAsia="彩虹粗仿宋"/>
          <w:sz w:val="32"/>
          <w:szCs w:val="32"/>
        </w:rPr>
      </w:pPr>
      <w:r>
        <w:rPr>
          <w:rFonts w:hint="eastAsia" w:ascii="彩虹粗仿宋" w:eastAsia="彩虹粗仿宋"/>
          <w:sz w:val="32"/>
          <w:szCs w:val="32"/>
        </w:rPr>
        <w:t>尊敬的投资者：</w:t>
      </w:r>
    </w:p>
    <w:p w14:paraId="765FF17F">
      <w:pPr>
        <w:spacing w:line="560" w:lineRule="exact"/>
        <w:ind w:firstLine="640" w:firstLineChars="200"/>
        <w:rPr>
          <w:rFonts w:hint="eastAsia" w:ascii="彩虹粗仿宋" w:eastAsia="彩虹粗仿宋"/>
          <w:sz w:val="32"/>
          <w:szCs w:val="32"/>
        </w:rPr>
      </w:pPr>
      <w:r>
        <w:rPr>
          <w:rFonts w:hint="eastAsia" w:ascii="彩虹粗仿宋" w:eastAsia="彩虹粗仿宋"/>
          <w:sz w:val="32"/>
          <w:szCs w:val="32"/>
        </w:rPr>
        <w:t>为更好地为客户提供投资理财服务，建信理财有限责任公司拟调整建信理财龙鑫（打新增强）固收类最低持有30天产品第2期销售区域：</w:t>
      </w:r>
      <w:bookmarkStart w:id="0" w:name="_GoBack"/>
      <w:bookmarkEnd w:id="0"/>
    </w:p>
    <w:tbl>
      <w:tblPr>
        <w:tblStyle w:val="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9"/>
        <w:gridCol w:w="2131"/>
        <w:gridCol w:w="1299"/>
        <w:gridCol w:w="2229"/>
        <w:gridCol w:w="1704"/>
      </w:tblGrid>
      <w:tr w14:paraId="32F61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pct"/>
            <w:vAlign w:val="center"/>
          </w:tcPr>
          <w:p w14:paraId="59C0866D">
            <w:pPr>
              <w:jc w:val="center"/>
              <w:rPr>
                <w:rFonts w:hint="eastAsia" w:ascii="宋体" w:hAnsi="宋体" w:eastAsia="宋体"/>
                <w:b/>
                <w:sz w:val="18"/>
                <w:szCs w:val="18"/>
              </w:rPr>
            </w:pPr>
            <w:r>
              <w:rPr>
                <w:rFonts w:hint="eastAsia" w:ascii="宋体" w:hAnsi="宋体" w:eastAsia="宋体"/>
                <w:b/>
                <w:sz w:val="18"/>
                <w:szCs w:val="18"/>
              </w:rPr>
              <w:t>产品名称</w:t>
            </w:r>
          </w:p>
        </w:tc>
        <w:tc>
          <w:tcPr>
            <w:tcW w:w="1250" w:type="pct"/>
            <w:vAlign w:val="center"/>
          </w:tcPr>
          <w:p w14:paraId="49F1F603">
            <w:pPr>
              <w:jc w:val="center"/>
              <w:rPr>
                <w:rFonts w:hint="eastAsia" w:ascii="宋体" w:hAnsi="宋体" w:eastAsia="宋体"/>
                <w:b/>
                <w:sz w:val="18"/>
                <w:szCs w:val="18"/>
              </w:rPr>
            </w:pPr>
            <w:r>
              <w:rPr>
                <w:rFonts w:hint="eastAsia" w:ascii="宋体" w:hAnsi="宋体" w:eastAsia="宋体"/>
                <w:b/>
                <w:sz w:val="18"/>
                <w:szCs w:val="18"/>
              </w:rPr>
              <w:t>全国银行业理财信息登记系统编号</w:t>
            </w:r>
          </w:p>
        </w:tc>
        <w:tc>
          <w:tcPr>
            <w:tcW w:w="762" w:type="pct"/>
            <w:vAlign w:val="center"/>
          </w:tcPr>
          <w:p w14:paraId="6277B8F0">
            <w:pPr>
              <w:jc w:val="center"/>
              <w:rPr>
                <w:rFonts w:hint="eastAsia" w:ascii="宋体" w:hAnsi="宋体" w:eastAsia="宋体"/>
                <w:b/>
                <w:sz w:val="18"/>
                <w:szCs w:val="18"/>
              </w:rPr>
            </w:pPr>
            <w:r>
              <w:rPr>
                <w:rFonts w:hint="eastAsia" w:ascii="宋体" w:hAnsi="宋体" w:eastAsia="宋体"/>
                <w:b/>
                <w:sz w:val="18"/>
                <w:szCs w:val="18"/>
              </w:rPr>
              <w:t>调整前</w:t>
            </w:r>
          </w:p>
        </w:tc>
        <w:tc>
          <w:tcPr>
            <w:tcW w:w="1308" w:type="pct"/>
            <w:vAlign w:val="center"/>
          </w:tcPr>
          <w:p w14:paraId="25FEC5F3">
            <w:pPr>
              <w:jc w:val="center"/>
              <w:rPr>
                <w:rFonts w:hint="eastAsia" w:ascii="宋体" w:hAnsi="宋体" w:eastAsia="宋体"/>
                <w:b/>
                <w:sz w:val="18"/>
                <w:szCs w:val="18"/>
              </w:rPr>
            </w:pPr>
            <w:r>
              <w:rPr>
                <w:rFonts w:hint="eastAsia" w:ascii="宋体" w:hAnsi="宋体" w:eastAsia="宋体"/>
                <w:b/>
                <w:sz w:val="18"/>
                <w:szCs w:val="18"/>
              </w:rPr>
              <w:t>调整后</w:t>
            </w:r>
          </w:p>
        </w:tc>
        <w:tc>
          <w:tcPr>
            <w:tcW w:w="1000" w:type="pct"/>
            <w:vAlign w:val="center"/>
          </w:tcPr>
          <w:p w14:paraId="39FCD14C">
            <w:pPr>
              <w:jc w:val="center"/>
              <w:rPr>
                <w:rFonts w:hint="eastAsia" w:ascii="宋体" w:hAnsi="宋体" w:eastAsia="宋体"/>
                <w:b/>
                <w:sz w:val="18"/>
                <w:szCs w:val="18"/>
              </w:rPr>
            </w:pPr>
            <w:r>
              <w:rPr>
                <w:rFonts w:hint="eastAsia" w:ascii="宋体" w:hAnsi="宋体" w:eastAsia="宋体"/>
                <w:b/>
                <w:sz w:val="18"/>
                <w:szCs w:val="18"/>
              </w:rPr>
              <w:t>调整生效日</w:t>
            </w:r>
          </w:p>
        </w:tc>
      </w:tr>
      <w:tr w14:paraId="0A527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pct"/>
            <w:vAlign w:val="center"/>
          </w:tcPr>
          <w:p w14:paraId="2609EF02">
            <w:pPr>
              <w:jc w:val="center"/>
              <w:rPr>
                <w:rFonts w:hint="eastAsia" w:ascii="宋体" w:hAnsi="宋体" w:eastAsia="宋体"/>
                <w:b/>
                <w:sz w:val="18"/>
                <w:szCs w:val="18"/>
              </w:rPr>
            </w:pPr>
            <w:r>
              <w:rPr>
                <w:rFonts w:hint="eastAsia" w:ascii="宋体" w:hAnsi="宋体" w:eastAsia="宋体"/>
                <w:sz w:val="18"/>
                <w:szCs w:val="18"/>
              </w:rPr>
              <w:t>建信理财龙鑫（打新增强）固收类最低持有30天产品第2期</w:t>
            </w:r>
          </w:p>
        </w:tc>
        <w:tc>
          <w:tcPr>
            <w:tcW w:w="1250" w:type="pct"/>
            <w:vAlign w:val="center"/>
          </w:tcPr>
          <w:p w14:paraId="6622DAD8">
            <w:pPr>
              <w:jc w:val="center"/>
              <w:rPr>
                <w:rFonts w:hint="eastAsia" w:ascii="宋体" w:hAnsi="宋体" w:eastAsia="宋体"/>
                <w:b/>
                <w:sz w:val="18"/>
                <w:szCs w:val="18"/>
              </w:rPr>
            </w:pPr>
            <w:r>
              <w:rPr>
                <w:rFonts w:hint="eastAsia" w:ascii="宋体" w:hAnsi="宋体" w:eastAsia="宋体"/>
                <w:sz w:val="18"/>
                <w:szCs w:val="18"/>
              </w:rPr>
              <w:t>Z7000726001251</w:t>
            </w:r>
          </w:p>
        </w:tc>
        <w:tc>
          <w:tcPr>
            <w:tcW w:w="762" w:type="pct"/>
            <w:vAlign w:val="center"/>
          </w:tcPr>
          <w:p w14:paraId="6232765F">
            <w:pPr>
              <w:jc w:val="center"/>
              <w:rPr>
                <w:rFonts w:hint="eastAsia" w:ascii="宋体" w:hAnsi="宋体" w:eastAsia="宋体"/>
                <w:sz w:val="18"/>
                <w:szCs w:val="18"/>
                <w:lang w:val="en-US" w:eastAsia="zh-CN"/>
              </w:rPr>
            </w:pPr>
            <w:r>
              <w:rPr>
                <w:rFonts w:hint="eastAsia" w:ascii="宋体" w:hAnsi="宋体" w:eastAsia="宋体"/>
                <w:sz w:val="18"/>
                <w:szCs w:val="18"/>
                <w:lang w:val="en-US" w:eastAsia="zh-CN"/>
              </w:rPr>
              <w:t>深圳市</w:t>
            </w:r>
          </w:p>
        </w:tc>
        <w:tc>
          <w:tcPr>
            <w:tcW w:w="1308" w:type="pct"/>
            <w:vAlign w:val="center"/>
          </w:tcPr>
          <w:p w14:paraId="44F3F58D">
            <w:pPr>
              <w:jc w:val="center"/>
              <w:rPr>
                <w:rFonts w:hint="eastAsia" w:ascii="宋体" w:hAnsi="宋体" w:eastAsia="宋体"/>
                <w:sz w:val="18"/>
                <w:szCs w:val="18"/>
              </w:rPr>
            </w:pPr>
            <w:r>
              <w:rPr>
                <w:rFonts w:hint="eastAsia" w:ascii="宋体" w:hAnsi="宋体" w:eastAsia="宋体"/>
                <w:sz w:val="18"/>
                <w:szCs w:val="18"/>
              </w:rPr>
              <w:t>深圳市</w:t>
            </w:r>
            <w:r>
              <w:rPr>
                <w:rFonts w:hint="eastAsia" w:ascii="宋体" w:hAnsi="宋体" w:eastAsia="宋体"/>
                <w:sz w:val="18"/>
                <w:szCs w:val="18"/>
                <w:lang w:eastAsia="zh-CN"/>
              </w:rPr>
              <w:t>、</w:t>
            </w:r>
            <w:r>
              <w:rPr>
                <w:rFonts w:hint="eastAsia" w:ascii="宋体" w:hAnsi="宋体" w:eastAsia="宋体"/>
                <w:sz w:val="18"/>
                <w:szCs w:val="18"/>
                <w:lang w:val="en-US" w:eastAsia="zh-CN"/>
              </w:rPr>
              <w:t>浙江省（除宁波市）、苏州市、厦门市</w:t>
            </w:r>
          </w:p>
        </w:tc>
        <w:tc>
          <w:tcPr>
            <w:tcW w:w="1000" w:type="pct"/>
            <w:vAlign w:val="center"/>
          </w:tcPr>
          <w:p w14:paraId="5E1FF04C">
            <w:pPr>
              <w:jc w:val="center"/>
              <w:rPr>
                <w:rFonts w:hint="default" w:ascii="宋体" w:hAnsi="宋体" w:eastAsia="宋体"/>
                <w:b/>
                <w:sz w:val="18"/>
                <w:szCs w:val="18"/>
                <w:lang w:val="en-US" w:eastAsia="zh-CN"/>
              </w:rPr>
            </w:pPr>
            <w:r>
              <w:rPr>
                <w:rFonts w:hint="eastAsia" w:ascii="宋体" w:hAnsi="宋体" w:eastAsia="宋体"/>
                <w:sz w:val="18"/>
                <w:szCs w:val="18"/>
                <w:highlight w:val="none"/>
                <w:lang w:val="en-US" w:eastAsia="zh-CN"/>
              </w:rPr>
              <w:t>2026年7月14 日</w:t>
            </w:r>
          </w:p>
        </w:tc>
      </w:tr>
    </w:tbl>
    <w:p w14:paraId="35DF40B8">
      <w:pPr>
        <w:spacing w:line="560" w:lineRule="exact"/>
        <w:ind w:firstLine="640" w:firstLineChars="200"/>
        <w:rPr>
          <w:rFonts w:hint="eastAsia" w:ascii="彩虹粗仿宋" w:eastAsia="彩虹粗仿宋"/>
          <w:sz w:val="32"/>
          <w:szCs w:val="32"/>
        </w:rPr>
      </w:pPr>
      <w:r>
        <w:rPr>
          <w:rFonts w:hint="eastAsia" w:ascii="彩虹粗仿宋" w:eastAsia="彩虹粗仿宋"/>
          <w:sz w:val="32"/>
          <w:szCs w:val="32"/>
        </w:rPr>
        <w:t>本公告未提及事宜，按原产品说明书和风险揭示书的约定执行。</w:t>
      </w:r>
    </w:p>
    <w:p w14:paraId="18CA549B">
      <w:pPr>
        <w:spacing w:line="560" w:lineRule="exact"/>
        <w:ind w:firstLine="640" w:firstLineChars="200"/>
        <w:rPr>
          <w:rFonts w:hint="eastAsia" w:ascii="彩虹粗仿宋" w:eastAsia="彩虹粗仿宋"/>
          <w:sz w:val="32"/>
          <w:szCs w:val="32"/>
        </w:rPr>
      </w:pPr>
      <w:r>
        <w:rPr>
          <w:rFonts w:hint="eastAsia" w:ascii="彩虹粗仿宋" w:eastAsia="彩虹粗仿宋"/>
          <w:sz w:val="32"/>
          <w:szCs w:val="32"/>
        </w:rPr>
        <w:t>建信理财有限责任公司将本着勤勉尽职的原则持续为您提供专业化理财服务。</w:t>
      </w:r>
    </w:p>
    <w:p w14:paraId="251C7815">
      <w:pPr>
        <w:spacing w:line="560" w:lineRule="exact"/>
        <w:ind w:firstLine="640" w:firstLineChars="200"/>
        <w:rPr>
          <w:rFonts w:hint="eastAsia" w:ascii="彩虹粗仿宋" w:eastAsia="彩虹粗仿宋"/>
          <w:sz w:val="32"/>
          <w:szCs w:val="32"/>
        </w:rPr>
      </w:pPr>
      <w:r>
        <w:rPr>
          <w:rFonts w:hint="eastAsia" w:ascii="彩虹粗仿宋" w:eastAsia="彩虹粗仿宋"/>
          <w:sz w:val="32"/>
          <w:szCs w:val="32"/>
        </w:rPr>
        <w:t>特此公告。</w:t>
      </w:r>
    </w:p>
    <w:p w14:paraId="14FF43B3">
      <w:pPr>
        <w:spacing w:line="560" w:lineRule="exact"/>
        <w:ind w:firstLine="640" w:firstLineChars="200"/>
        <w:rPr>
          <w:rFonts w:ascii="彩虹粗仿宋" w:eastAsia="彩虹粗仿宋"/>
          <w:sz w:val="32"/>
          <w:szCs w:val="32"/>
        </w:rPr>
      </w:pPr>
    </w:p>
    <w:p w14:paraId="4213A421">
      <w:pPr>
        <w:spacing w:line="560" w:lineRule="exact"/>
        <w:ind w:firstLine="640" w:firstLineChars="200"/>
        <w:rPr>
          <w:rFonts w:ascii="彩虹粗仿宋" w:eastAsia="彩虹粗仿宋"/>
          <w:sz w:val="32"/>
          <w:szCs w:val="32"/>
        </w:rPr>
      </w:pPr>
    </w:p>
    <w:p w14:paraId="405F4808">
      <w:pPr>
        <w:spacing w:line="560" w:lineRule="exact"/>
        <w:ind w:firstLine="640" w:firstLineChars="200"/>
        <w:rPr>
          <w:rFonts w:ascii="彩虹粗仿宋" w:eastAsia="彩虹粗仿宋"/>
          <w:sz w:val="32"/>
          <w:szCs w:val="32"/>
          <w:highlight w:val="none"/>
        </w:rPr>
      </w:pPr>
      <w:r>
        <w:rPr>
          <w:rFonts w:hint="eastAsia" w:ascii="彩虹粗仿宋" w:eastAsia="彩虹粗仿宋"/>
          <w:sz w:val="32"/>
          <w:szCs w:val="32"/>
        </w:rPr>
        <w:t xml:space="preserve">  </w:t>
      </w:r>
      <w:r>
        <w:rPr>
          <w:rFonts w:ascii="彩虹粗仿宋" w:eastAsia="彩虹粗仿宋"/>
          <w:sz w:val="32"/>
          <w:szCs w:val="32"/>
        </w:rPr>
        <w:t xml:space="preserve">                        </w:t>
      </w:r>
      <w:r>
        <w:rPr>
          <w:rFonts w:hint="eastAsia" w:ascii="彩虹粗仿宋" w:eastAsia="彩虹粗仿宋"/>
          <w:sz w:val="32"/>
          <w:szCs w:val="32"/>
          <w:highlight w:val="none"/>
        </w:rPr>
        <w:t xml:space="preserve"> 建信理财有限责任公司</w:t>
      </w:r>
    </w:p>
    <w:p w14:paraId="5C9EF403">
      <w:pPr>
        <w:spacing w:line="560" w:lineRule="exact"/>
        <w:ind w:firstLine="5440" w:firstLineChars="1700"/>
        <w:rPr>
          <w:rFonts w:ascii="彩虹粗仿宋" w:eastAsia="彩虹粗仿宋"/>
          <w:sz w:val="32"/>
          <w:szCs w:val="32"/>
          <w:highlight w:val="none"/>
        </w:rPr>
      </w:pPr>
      <w:r>
        <w:rPr>
          <w:rFonts w:hint="eastAsia" w:ascii="彩虹粗仿宋" w:eastAsia="彩虹粗仿宋"/>
          <w:sz w:val="32"/>
          <w:szCs w:val="32"/>
          <w:highlight w:val="none"/>
        </w:rPr>
        <w:t>202</w:t>
      </w:r>
      <w:r>
        <w:rPr>
          <w:rFonts w:hint="eastAsia" w:ascii="彩虹粗仿宋" w:eastAsia="彩虹粗仿宋"/>
          <w:sz w:val="32"/>
          <w:szCs w:val="32"/>
          <w:highlight w:val="none"/>
          <w:lang w:val="en-US" w:eastAsia="zh-CN"/>
        </w:rPr>
        <w:t>6</w:t>
      </w:r>
      <w:r>
        <w:rPr>
          <w:rFonts w:hint="eastAsia" w:ascii="彩虹粗仿宋" w:eastAsia="彩虹粗仿宋"/>
          <w:sz w:val="32"/>
          <w:szCs w:val="32"/>
          <w:highlight w:val="none"/>
        </w:rPr>
        <w:t>年</w:t>
      </w:r>
      <w:r>
        <w:rPr>
          <w:rFonts w:hint="eastAsia" w:ascii="彩虹粗仿宋" w:eastAsia="彩虹粗仿宋"/>
          <w:sz w:val="32"/>
          <w:szCs w:val="32"/>
          <w:highlight w:val="none"/>
          <w:lang w:val="en-US" w:eastAsia="zh-CN"/>
        </w:rPr>
        <w:t>7</w:t>
      </w:r>
      <w:r>
        <w:rPr>
          <w:rFonts w:hint="eastAsia" w:ascii="彩虹粗仿宋" w:eastAsia="彩虹粗仿宋"/>
          <w:sz w:val="32"/>
          <w:szCs w:val="32"/>
          <w:highlight w:val="none"/>
        </w:rPr>
        <w:t>月</w:t>
      </w:r>
      <w:r>
        <w:rPr>
          <w:rFonts w:hint="eastAsia" w:ascii="彩虹粗仿宋" w:eastAsia="彩虹粗仿宋"/>
          <w:sz w:val="32"/>
          <w:szCs w:val="32"/>
          <w:highlight w:val="none"/>
          <w:lang w:val="en-US" w:eastAsia="zh-CN"/>
        </w:rPr>
        <w:t>10</w:t>
      </w:r>
      <w:r>
        <w:rPr>
          <w:rFonts w:hint="eastAsia" w:ascii="彩虹粗仿宋" w:eastAsia="彩虹粗仿宋"/>
          <w:sz w:val="32"/>
          <w:szCs w:val="32"/>
          <w:highlight w:val="none"/>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彩虹小标宋">
    <w:panose1 w:val="03000509000000000000"/>
    <w:charset w:val="86"/>
    <w:family w:val="script"/>
    <w:pitch w:val="default"/>
    <w:sig w:usb0="00000001" w:usb1="080E0000" w:usb2="00000000" w:usb3="00000000" w:csb0="00040000" w:csb1="00000000"/>
  </w:font>
  <w:font w:name="彩虹粗仿宋">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hkZmQzYzU2MWU4OTg1ZjQ0MjVmZjgxZjk0YTljMmYifQ=="/>
  </w:docVars>
  <w:rsids>
    <w:rsidRoot w:val="001428A6"/>
    <w:rsid w:val="000241C8"/>
    <w:rsid w:val="0005242D"/>
    <w:rsid w:val="00066939"/>
    <w:rsid w:val="001428A6"/>
    <w:rsid w:val="00185B11"/>
    <w:rsid w:val="0019582C"/>
    <w:rsid w:val="001C381B"/>
    <w:rsid w:val="00205C8A"/>
    <w:rsid w:val="00206F79"/>
    <w:rsid w:val="00214562"/>
    <w:rsid w:val="002532EE"/>
    <w:rsid w:val="00272D68"/>
    <w:rsid w:val="002D3336"/>
    <w:rsid w:val="002E3ECE"/>
    <w:rsid w:val="002F2DAA"/>
    <w:rsid w:val="00326FE7"/>
    <w:rsid w:val="003357F0"/>
    <w:rsid w:val="003C5294"/>
    <w:rsid w:val="003D7CFA"/>
    <w:rsid w:val="004B40CC"/>
    <w:rsid w:val="004C0C5D"/>
    <w:rsid w:val="00505B5C"/>
    <w:rsid w:val="00586B28"/>
    <w:rsid w:val="005A0F9C"/>
    <w:rsid w:val="005F5AE8"/>
    <w:rsid w:val="005F6936"/>
    <w:rsid w:val="0064427A"/>
    <w:rsid w:val="006548A0"/>
    <w:rsid w:val="00654A55"/>
    <w:rsid w:val="0066655D"/>
    <w:rsid w:val="006674CF"/>
    <w:rsid w:val="0067161F"/>
    <w:rsid w:val="0068278D"/>
    <w:rsid w:val="006912E0"/>
    <w:rsid w:val="006A63AD"/>
    <w:rsid w:val="00760000"/>
    <w:rsid w:val="0076079D"/>
    <w:rsid w:val="00792813"/>
    <w:rsid w:val="007C0139"/>
    <w:rsid w:val="007C1916"/>
    <w:rsid w:val="007C33BC"/>
    <w:rsid w:val="007C3955"/>
    <w:rsid w:val="007F34E4"/>
    <w:rsid w:val="00811669"/>
    <w:rsid w:val="008852F8"/>
    <w:rsid w:val="008B2407"/>
    <w:rsid w:val="008C5E52"/>
    <w:rsid w:val="008F7202"/>
    <w:rsid w:val="00905D50"/>
    <w:rsid w:val="009101AB"/>
    <w:rsid w:val="009206C0"/>
    <w:rsid w:val="009704A5"/>
    <w:rsid w:val="009B037B"/>
    <w:rsid w:val="00A27E25"/>
    <w:rsid w:val="00A412B1"/>
    <w:rsid w:val="00A506CC"/>
    <w:rsid w:val="00A60679"/>
    <w:rsid w:val="00A84031"/>
    <w:rsid w:val="00B8546A"/>
    <w:rsid w:val="00BA47A7"/>
    <w:rsid w:val="00BD576B"/>
    <w:rsid w:val="00C034CF"/>
    <w:rsid w:val="00C21A9A"/>
    <w:rsid w:val="00C406D4"/>
    <w:rsid w:val="00C504AE"/>
    <w:rsid w:val="00CE5F95"/>
    <w:rsid w:val="00D15B3B"/>
    <w:rsid w:val="00D74827"/>
    <w:rsid w:val="00D806D9"/>
    <w:rsid w:val="00DB6005"/>
    <w:rsid w:val="00DD228E"/>
    <w:rsid w:val="00E33E2A"/>
    <w:rsid w:val="00E64DEE"/>
    <w:rsid w:val="00E846D8"/>
    <w:rsid w:val="00E9072F"/>
    <w:rsid w:val="00EA6AD7"/>
    <w:rsid w:val="00EC5809"/>
    <w:rsid w:val="00F31745"/>
    <w:rsid w:val="00F336DE"/>
    <w:rsid w:val="00F73D21"/>
    <w:rsid w:val="00FB504D"/>
    <w:rsid w:val="06BF2F46"/>
    <w:rsid w:val="07C36B9E"/>
    <w:rsid w:val="09284F05"/>
    <w:rsid w:val="0B692294"/>
    <w:rsid w:val="0C7B2659"/>
    <w:rsid w:val="0DE4769D"/>
    <w:rsid w:val="19D8550B"/>
    <w:rsid w:val="1B4E579B"/>
    <w:rsid w:val="1BED5812"/>
    <w:rsid w:val="1E5C58CD"/>
    <w:rsid w:val="1FAD1145"/>
    <w:rsid w:val="24A00CF4"/>
    <w:rsid w:val="25A32D1B"/>
    <w:rsid w:val="27D30891"/>
    <w:rsid w:val="28762462"/>
    <w:rsid w:val="2B595907"/>
    <w:rsid w:val="2D334981"/>
    <w:rsid w:val="35C843A0"/>
    <w:rsid w:val="378709BB"/>
    <w:rsid w:val="398137B6"/>
    <w:rsid w:val="3B07305C"/>
    <w:rsid w:val="43501496"/>
    <w:rsid w:val="436537FA"/>
    <w:rsid w:val="43DC1DAD"/>
    <w:rsid w:val="4A843274"/>
    <w:rsid w:val="4E1D1EE7"/>
    <w:rsid w:val="511B7B0B"/>
    <w:rsid w:val="51661225"/>
    <w:rsid w:val="56184360"/>
    <w:rsid w:val="5C8375FF"/>
    <w:rsid w:val="5D7819E8"/>
    <w:rsid w:val="6563093F"/>
    <w:rsid w:val="67A35B67"/>
    <w:rsid w:val="687B0A27"/>
    <w:rsid w:val="69C7466E"/>
    <w:rsid w:val="768028DE"/>
    <w:rsid w:val="770636BC"/>
    <w:rsid w:val="770D21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5"/>
    <w:semiHidden/>
    <w:unhideWhenUsed/>
    <w:qFormat/>
    <w:uiPriority w:val="99"/>
    <w:pPr>
      <w:jc w:val="left"/>
    </w:pPr>
  </w:style>
  <w:style w:type="paragraph" w:styleId="3">
    <w:name w:val="Balloon Text"/>
    <w:basedOn w:val="1"/>
    <w:link w:val="14"/>
    <w:semiHidden/>
    <w:unhideWhenUsed/>
    <w:qFormat/>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7">
    <w:name w:val="annotation subject"/>
    <w:basedOn w:val="2"/>
    <w:next w:val="2"/>
    <w:link w:val="16"/>
    <w:semiHidden/>
    <w:unhideWhenUsed/>
    <w:qFormat/>
    <w:uiPriority w:val="99"/>
    <w:rPr>
      <w:b/>
      <w:bCs/>
    </w:rPr>
  </w:style>
  <w:style w:type="table" w:styleId="9">
    <w:name w:val="Table Grid"/>
    <w:basedOn w:val="8"/>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annotation reference"/>
    <w:basedOn w:val="10"/>
    <w:semiHidden/>
    <w:unhideWhenUsed/>
    <w:qFormat/>
    <w:uiPriority w:val="99"/>
    <w:rPr>
      <w:sz w:val="21"/>
      <w:szCs w:val="21"/>
    </w:rPr>
  </w:style>
  <w:style w:type="character" w:customStyle="1" w:styleId="12">
    <w:name w:val="页眉 字符"/>
    <w:basedOn w:val="10"/>
    <w:link w:val="5"/>
    <w:qFormat/>
    <w:uiPriority w:val="99"/>
    <w:rPr>
      <w:sz w:val="18"/>
      <w:szCs w:val="18"/>
    </w:rPr>
  </w:style>
  <w:style w:type="character" w:customStyle="1" w:styleId="13">
    <w:name w:val="页脚 字符"/>
    <w:basedOn w:val="10"/>
    <w:link w:val="4"/>
    <w:qFormat/>
    <w:uiPriority w:val="99"/>
    <w:rPr>
      <w:sz w:val="18"/>
      <w:szCs w:val="18"/>
    </w:rPr>
  </w:style>
  <w:style w:type="character" w:customStyle="1" w:styleId="14">
    <w:name w:val="批注框文本 字符"/>
    <w:basedOn w:val="10"/>
    <w:link w:val="3"/>
    <w:semiHidden/>
    <w:qFormat/>
    <w:uiPriority w:val="99"/>
    <w:rPr>
      <w:sz w:val="18"/>
      <w:szCs w:val="18"/>
    </w:rPr>
  </w:style>
  <w:style w:type="character" w:customStyle="1" w:styleId="15">
    <w:name w:val="批注文字 字符"/>
    <w:basedOn w:val="10"/>
    <w:link w:val="2"/>
    <w:semiHidden/>
    <w:qFormat/>
    <w:uiPriority w:val="99"/>
  </w:style>
  <w:style w:type="character" w:customStyle="1" w:styleId="16">
    <w:name w:val="批注主题 字符"/>
    <w:basedOn w:val="15"/>
    <w:link w:val="7"/>
    <w:semiHidden/>
    <w:qFormat/>
    <w:uiPriority w:val="99"/>
    <w:rPr>
      <w:b/>
      <w:bCs/>
    </w:rPr>
  </w:style>
  <w:style w:type="paragraph" w:styleId="17">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302</Words>
  <Characters>343</Characters>
  <Lines>1</Lines>
  <Paragraphs>1</Paragraphs>
  <TotalTime>8</TotalTime>
  <ScaleCrop>false</ScaleCrop>
  <LinksUpToDate>false</LinksUpToDate>
  <CharactersWithSpaces>370</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2023-04-27T10:01:00Z</dcterms:created>
  <dc:creator>产品管理部</dc:creator>
  <cp:lastModifiedBy>陈文君</cp:lastModifiedBy>
  <dcterms:modified xsi:type="dcterms:W3CDTF">2026-07-10T03:04:15Z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94376FBD1F3A43BFB93B0F67B3DBC2E5_13</vt:lpwstr>
  </property>
</Properties>
</file>