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999E52">
      <w:pPr>
        <w:jc w:val="center"/>
        <w:rPr>
          <w:rFonts w:hint="eastAsia" w:ascii="彩虹小标宋" w:eastAsia="彩虹小标宋"/>
          <w:sz w:val="44"/>
          <w:szCs w:val="44"/>
          <w:lang w:val="en-US" w:eastAsia="zh-CN"/>
        </w:rPr>
      </w:pPr>
      <w:bookmarkStart w:id="0" w:name="_GoBack"/>
      <w:r>
        <w:rPr>
          <w:rFonts w:hint="eastAsia" w:ascii="彩虹小标宋" w:eastAsia="彩虹小标宋"/>
          <w:sz w:val="44"/>
          <w:szCs w:val="44"/>
        </w:rPr>
        <w:t>关于</w:t>
      </w:r>
      <w:r>
        <w:rPr>
          <w:rFonts w:hint="eastAsia" w:ascii="彩虹小标宋" w:eastAsia="彩虹小标宋"/>
          <w:sz w:val="44"/>
          <w:szCs w:val="44"/>
          <w:lang w:val="en-US" w:eastAsia="zh-CN"/>
        </w:rPr>
        <w:t>调整建信理财嘉鑫（稳利）法人版固收类按日开放式产品第119期产品限额</w:t>
      </w:r>
      <w:r>
        <w:rPr>
          <w:rFonts w:hint="eastAsia" w:ascii="彩虹小标宋" w:eastAsia="彩虹小标宋"/>
          <w:sz w:val="44"/>
          <w:szCs w:val="44"/>
        </w:rPr>
        <w:t>的公告</w:t>
      </w:r>
      <w:r>
        <w:rPr>
          <w:rFonts w:hint="eastAsia" w:ascii="彩虹小标宋" w:eastAsia="彩虹小标宋"/>
          <w:sz w:val="44"/>
          <w:szCs w:val="44"/>
          <w:lang w:val="en-US" w:eastAsia="zh-CN"/>
        </w:rPr>
        <w:t>-JXJXARGS251015119</w:t>
      </w:r>
    </w:p>
    <w:bookmarkEnd w:id="0"/>
    <w:p w14:paraId="6BC5BED5">
      <w:pPr>
        <w:spacing w:line="560" w:lineRule="exact"/>
        <w:rPr>
          <w:rFonts w:ascii="彩虹粗仿宋" w:eastAsia="彩虹粗仿宋"/>
          <w:sz w:val="32"/>
          <w:szCs w:val="32"/>
        </w:rPr>
      </w:pPr>
    </w:p>
    <w:p w14:paraId="17889B32">
      <w:pPr>
        <w:keepNext w:val="0"/>
        <w:keepLines w:val="0"/>
        <w:pageBreakBefore w:val="0"/>
        <w:widowControl w:val="0"/>
        <w:kinsoku/>
        <w:wordWrap/>
        <w:overflowPunct/>
        <w:topLinePunct w:val="0"/>
        <w:autoSpaceDE/>
        <w:autoSpaceDN/>
        <w:bidi w:val="0"/>
        <w:adjustRightInd/>
        <w:snapToGrid/>
        <w:spacing w:line="560" w:lineRule="exact"/>
        <w:textAlignment w:val="auto"/>
        <w:rPr>
          <w:rFonts w:ascii="彩虹粗仿宋" w:eastAsia="彩虹粗仿宋"/>
          <w:sz w:val="32"/>
          <w:szCs w:val="32"/>
        </w:rPr>
      </w:pPr>
      <w:r>
        <w:rPr>
          <w:rFonts w:hint="eastAsia" w:ascii="彩虹粗仿宋" w:eastAsia="彩虹粗仿宋"/>
          <w:sz w:val="32"/>
          <w:szCs w:val="32"/>
        </w:rPr>
        <w:t>尊敬的投资者：</w:t>
      </w:r>
    </w:p>
    <w:p w14:paraId="3998F20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彩虹粗仿宋" w:eastAsia="彩虹粗仿宋"/>
          <w:sz w:val="32"/>
          <w:szCs w:val="32"/>
          <w:lang w:val="en-US" w:eastAsia="zh-CN"/>
        </w:rPr>
      </w:pPr>
      <w:r>
        <w:rPr>
          <w:rFonts w:hint="eastAsia" w:ascii="彩虹粗仿宋" w:eastAsia="彩虹粗仿宋"/>
          <w:sz w:val="32"/>
          <w:szCs w:val="32"/>
        </w:rPr>
        <w:t>为更好地提供理财服务，</w:t>
      </w:r>
      <w:r>
        <w:rPr>
          <w:rFonts w:hint="eastAsia" w:ascii="彩虹粗仿宋" w:eastAsia="彩虹粗仿宋"/>
          <w:sz w:val="32"/>
          <w:szCs w:val="32"/>
          <w:lang w:val="en-US" w:eastAsia="zh-CN"/>
        </w:rPr>
        <w:t>建信理财</w:t>
      </w:r>
      <w:r>
        <w:rPr>
          <w:rFonts w:hint="eastAsia" w:ascii="彩虹粗仿宋" w:eastAsia="彩虹粗仿宋"/>
          <w:sz w:val="32"/>
          <w:szCs w:val="32"/>
        </w:rPr>
        <w:t>将于</w:t>
      </w:r>
      <w:r>
        <w:rPr>
          <w:rFonts w:ascii="彩虹粗仿宋" w:eastAsia="彩虹粗仿宋"/>
          <w:sz w:val="32"/>
          <w:szCs w:val="32"/>
        </w:rPr>
        <w:t>202</w:t>
      </w:r>
      <w:r>
        <w:rPr>
          <w:rFonts w:hint="eastAsia" w:ascii="彩虹粗仿宋" w:eastAsia="彩虹粗仿宋"/>
          <w:sz w:val="32"/>
          <w:szCs w:val="32"/>
          <w:lang w:val="en-US" w:eastAsia="zh-CN"/>
        </w:rPr>
        <w:t>6</w:t>
      </w:r>
      <w:r>
        <w:rPr>
          <w:rFonts w:hint="eastAsia" w:ascii="彩虹粗仿宋" w:eastAsia="彩虹粗仿宋"/>
          <w:sz w:val="32"/>
          <w:szCs w:val="32"/>
        </w:rPr>
        <w:t>年</w:t>
      </w:r>
      <w:r>
        <w:rPr>
          <w:rFonts w:hint="eastAsia" w:ascii="彩虹粗仿宋" w:eastAsia="彩虹粗仿宋"/>
          <w:sz w:val="32"/>
          <w:szCs w:val="32"/>
          <w:lang w:val="en-US" w:eastAsia="zh-CN"/>
        </w:rPr>
        <w:t>7</w:t>
      </w:r>
      <w:r>
        <w:rPr>
          <w:rFonts w:hint="eastAsia" w:ascii="彩虹粗仿宋" w:eastAsia="彩虹粗仿宋"/>
          <w:sz w:val="32"/>
          <w:szCs w:val="32"/>
        </w:rPr>
        <w:t>月</w:t>
      </w:r>
      <w:r>
        <w:rPr>
          <w:rFonts w:hint="eastAsia" w:ascii="彩虹粗仿宋" w:eastAsia="彩虹粗仿宋"/>
          <w:sz w:val="32"/>
          <w:szCs w:val="32"/>
          <w:lang w:val="en-US" w:eastAsia="zh-CN"/>
        </w:rPr>
        <w:t>21</w:t>
      </w:r>
      <w:r>
        <w:rPr>
          <w:rFonts w:hint="eastAsia" w:ascii="彩虹粗仿宋" w:eastAsia="彩虹粗仿宋"/>
          <w:sz w:val="32"/>
          <w:szCs w:val="32"/>
        </w:rPr>
        <w:t>日</w:t>
      </w:r>
      <w:r>
        <w:rPr>
          <w:rFonts w:hint="eastAsia" w:ascii="彩虹粗仿宋" w:eastAsia="彩虹粗仿宋"/>
          <w:sz w:val="32"/>
          <w:szCs w:val="32"/>
          <w:lang w:eastAsia="zh-CN"/>
        </w:rPr>
        <w:t>（</w:t>
      </w:r>
      <w:r>
        <w:rPr>
          <w:rFonts w:hint="eastAsia" w:ascii="彩虹粗仿宋" w:eastAsia="彩虹粗仿宋"/>
          <w:sz w:val="32"/>
          <w:szCs w:val="32"/>
          <w:lang w:val="en-US" w:eastAsia="zh-CN"/>
        </w:rPr>
        <w:t>含</w:t>
      </w:r>
      <w:r>
        <w:rPr>
          <w:rFonts w:hint="eastAsia" w:ascii="彩虹粗仿宋" w:eastAsia="彩虹粗仿宋"/>
          <w:sz w:val="32"/>
          <w:szCs w:val="32"/>
          <w:lang w:eastAsia="zh-CN"/>
        </w:rPr>
        <w:t>）</w:t>
      </w:r>
      <w:r>
        <w:rPr>
          <w:rFonts w:hint="eastAsia" w:ascii="彩虹粗仿宋" w:eastAsia="彩虹粗仿宋"/>
          <w:sz w:val="32"/>
          <w:szCs w:val="32"/>
          <w:lang w:val="en-US" w:eastAsia="zh-CN"/>
        </w:rPr>
        <w:t>起调整</w:t>
      </w:r>
      <w:r>
        <w:rPr>
          <w:rFonts w:hint="eastAsia" w:ascii="彩虹粗仿宋" w:eastAsia="彩虹粗仿宋"/>
          <w:sz w:val="32"/>
          <w:szCs w:val="32"/>
        </w:rPr>
        <w:t>建信理财嘉鑫（稳利）法人版固收类按日开放式产品第119期（全国银行业理财信息登记系统编码：Z7000725001326）</w:t>
      </w:r>
      <w:r>
        <w:rPr>
          <w:rFonts w:hint="eastAsia" w:ascii="彩虹粗仿宋" w:eastAsia="彩虹粗仿宋"/>
          <w:sz w:val="32"/>
          <w:szCs w:val="32"/>
          <w:lang w:val="en-US" w:eastAsia="zh-CN"/>
        </w:rPr>
        <w:t>的产品限额</w:t>
      </w:r>
      <w:r>
        <w:rPr>
          <w:rFonts w:hint="eastAsia" w:ascii="彩虹粗仿宋" w:eastAsia="彩虹粗仿宋"/>
          <w:sz w:val="32"/>
          <w:szCs w:val="32"/>
        </w:rPr>
        <w:t>。</w:t>
      </w:r>
    </w:p>
    <w:tbl>
      <w:tblPr>
        <w:tblStyle w:val="8"/>
        <w:tblpPr w:leftFromText="180" w:rightFromText="180" w:vertAnchor="text" w:horzAnchor="page" w:tblpXSpec="center" w:tblpY="479"/>
        <w:tblOverlap w:val="never"/>
        <w:tblW w:w="93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85"/>
        <w:gridCol w:w="1893"/>
        <w:gridCol w:w="1893"/>
        <w:gridCol w:w="2047"/>
      </w:tblGrid>
      <w:tr w14:paraId="0DA82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3485" w:type="dxa"/>
            <w:vAlign w:val="center"/>
          </w:tcPr>
          <w:p w14:paraId="506DD968">
            <w:pPr>
              <w:spacing w:line="240" w:lineRule="auto"/>
              <w:jc w:val="center"/>
              <w:rPr>
                <w:rFonts w:hint="eastAsia" w:ascii="彩虹粗仿宋" w:eastAsia="彩虹粗仿宋"/>
                <w:b/>
                <w:bCs/>
                <w:sz w:val="21"/>
                <w:szCs w:val="21"/>
                <w:vertAlign w:val="baseline"/>
                <w:lang w:val="en-US" w:eastAsia="zh-CN"/>
              </w:rPr>
            </w:pPr>
            <w:r>
              <w:rPr>
                <w:rFonts w:hint="eastAsia" w:ascii="彩虹粗仿宋" w:eastAsia="彩虹粗仿宋"/>
                <w:b/>
                <w:bCs/>
                <w:sz w:val="21"/>
                <w:szCs w:val="21"/>
                <w:vertAlign w:val="baseline"/>
                <w:lang w:val="en-US" w:eastAsia="zh-CN"/>
              </w:rPr>
              <w:t>名称</w:t>
            </w:r>
          </w:p>
        </w:tc>
        <w:tc>
          <w:tcPr>
            <w:tcW w:w="1893" w:type="dxa"/>
            <w:vAlign w:val="center"/>
          </w:tcPr>
          <w:p w14:paraId="417D8F5D">
            <w:pPr>
              <w:spacing w:line="240" w:lineRule="auto"/>
              <w:jc w:val="center"/>
              <w:rPr>
                <w:rFonts w:hint="default" w:ascii="彩虹粗仿宋" w:eastAsia="彩虹粗仿宋"/>
                <w:b/>
                <w:bCs/>
                <w:sz w:val="21"/>
                <w:szCs w:val="21"/>
                <w:vertAlign w:val="baseline"/>
                <w:lang w:val="en-US" w:eastAsia="zh-CN"/>
              </w:rPr>
            </w:pPr>
            <w:r>
              <w:rPr>
                <w:rFonts w:hint="eastAsia" w:ascii="彩虹粗仿宋" w:eastAsia="彩虹粗仿宋"/>
                <w:b/>
                <w:bCs/>
                <w:sz w:val="21"/>
                <w:szCs w:val="21"/>
                <w:vertAlign w:val="baseline"/>
                <w:lang w:val="en-US" w:eastAsia="zh-CN"/>
              </w:rPr>
              <w:t>限额</w:t>
            </w:r>
          </w:p>
        </w:tc>
        <w:tc>
          <w:tcPr>
            <w:tcW w:w="1893" w:type="dxa"/>
            <w:vAlign w:val="center"/>
          </w:tcPr>
          <w:p w14:paraId="418E7D00">
            <w:pPr>
              <w:spacing w:line="240" w:lineRule="auto"/>
              <w:jc w:val="center"/>
              <w:rPr>
                <w:rFonts w:hint="default" w:ascii="彩虹粗仿宋" w:eastAsia="彩虹粗仿宋"/>
                <w:b/>
                <w:bCs/>
                <w:sz w:val="21"/>
                <w:szCs w:val="21"/>
                <w:vertAlign w:val="baseline"/>
                <w:lang w:val="en-US" w:eastAsia="zh-CN"/>
              </w:rPr>
            </w:pPr>
            <w:r>
              <w:rPr>
                <w:rFonts w:hint="eastAsia" w:ascii="彩虹粗仿宋" w:eastAsia="彩虹粗仿宋"/>
                <w:b/>
                <w:bCs/>
                <w:sz w:val="21"/>
                <w:szCs w:val="21"/>
                <w:vertAlign w:val="baseline"/>
                <w:lang w:val="en-US" w:eastAsia="zh-CN"/>
              </w:rPr>
              <w:t>调整前</w:t>
            </w:r>
          </w:p>
        </w:tc>
        <w:tc>
          <w:tcPr>
            <w:tcW w:w="2047" w:type="dxa"/>
            <w:vAlign w:val="center"/>
          </w:tcPr>
          <w:p w14:paraId="379581FF">
            <w:pPr>
              <w:spacing w:line="240" w:lineRule="auto"/>
              <w:jc w:val="center"/>
              <w:rPr>
                <w:rFonts w:hint="default" w:ascii="彩虹粗仿宋" w:eastAsia="彩虹粗仿宋"/>
                <w:b/>
                <w:bCs/>
                <w:sz w:val="21"/>
                <w:szCs w:val="21"/>
                <w:vertAlign w:val="baseline"/>
                <w:lang w:val="en-US" w:eastAsia="zh-CN"/>
              </w:rPr>
            </w:pPr>
            <w:r>
              <w:rPr>
                <w:rFonts w:hint="eastAsia" w:ascii="彩虹粗仿宋" w:eastAsia="彩虹粗仿宋"/>
                <w:b/>
                <w:bCs/>
                <w:sz w:val="21"/>
                <w:szCs w:val="21"/>
                <w:vertAlign w:val="baseline"/>
                <w:lang w:val="en-US" w:eastAsia="zh-CN"/>
              </w:rPr>
              <w:t>调整后</w:t>
            </w:r>
          </w:p>
        </w:tc>
      </w:tr>
      <w:tr w14:paraId="009F8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3485" w:type="dxa"/>
            <w:vMerge w:val="restart"/>
            <w:vAlign w:val="center"/>
          </w:tcPr>
          <w:p w14:paraId="67735040">
            <w:pPr>
              <w:spacing w:line="240" w:lineRule="auto"/>
              <w:jc w:val="center"/>
              <w:rPr>
                <w:rFonts w:hint="default" w:ascii="彩虹粗仿宋" w:eastAsia="彩虹粗仿宋"/>
                <w:sz w:val="21"/>
                <w:szCs w:val="21"/>
                <w:vertAlign w:val="baseline"/>
                <w:lang w:val="en-US" w:eastAsia="zh-CN"/>
              </w:rPr>
            </w:pPr>
            <w:r>
              <w:rPr>
                <w:rFonts w:hint="default" w:ascii="彩虹粗仿宋" w:eastAsia="彩虹粗仿宋"/>
                <w:sz w:val="21"/>
                <w:szCs w:val="21"/>
                <w:vertAlign w:val="baseline"/>
                <w:lang w:val="en-US" w:eastAsia="zh-CN"/>
              </w:rPr>
              <w:t>建信理财嘉鑫（稳利）法人版固收类按日开放式产品第119期</w:t>
            </w:r>
          </w:p>
        </w:tc>
        <w:tc>
          <w:tcPr>
            <w:tcW w:w="1893" w:type="dxa"/>
            <w:vAlign w:val="center"/>
          </w:tcPr>
          <w:p w14:paraId="63E94522">
            <w:pPr>
              <w:spacing w:line="240" w:lineRule="auto"/>
              <w:jc w:val="center"/>
              <w:rPr>
                <w:rFonts w:hint="eastAsia" w:ascii="彩虹粗仿宋" w:eastAsia="彩虹粗仿宋"/>
                <w:sz w:val="21"/>
                <w:szCs w:val="21"/>
                <w:vertAlign w:val="baseline"/>
                <w:lang w:val="en-US" w:eastAsia="zh-CN"/>
              </w:rPr>
            </w:pPr>
            <w:r>
              <w:rPr>
                <w:rFonts w:hint="eastAsia" w:ascii="彩虹粗仿宋" w:eastAsia="彩虹粗仿宋"/>
                <w:sz w:val="21"/>
                <w:szCs w:val="21"/>
                <w:vertAlign w:val="baseline"/>
                <w:lang w:val="en-US" w:eastAsia="zh-CN"/>
              </w:rPr>
              <w:t>产品上限</w:t>
            </w:r>
          </w:p>
        </w:tc>
        <w:tc>
          <w:tcPr>
            <w:tcW w:w="1893" w:type="dxa"/>
            <w:vAlign w:val="center"/>
          </w:tcPr>
          <w:p w14:paraId="05383427">
            <w:pPr>
              <w:spacing w:line="240" w:lineRule="auto"/>
              <w:jc w:val="center"/>
              <w:rPr>
                <w:rFonts w:hint="default" w:ascii="彩虹粗仿宋" w:eastAsia="彩虹粗仿宋"/>
                <w:sz w:val="21"/>
                <w:szCs w:val="21"/>
                <w:vertAlign w:val="baseline"/>
                <w:lang w:val="en-US" w:eastAsia="zh-CN"/>
              </w:rPr>
            </w:pPr>
            <w:r>
              <w:rPr>
                <w:rFonts w:hint="eastAsia" w:ascii="彩虹粗仿宋" w:eastAsia="彩虹粗仿宋"/>
                <w:sz w:val="21"/>
                <w:szCs w:val="21"/>
                <w:vertAlign w:val="baseline"/>
                <w:lang w:val="en-US" w:eastAsia="zh-CN"/>
              </w:rPr>
              <w:t>不超过13亿份</w:t>
            </w:r>
          </w:p>
        </w:tc>
        <w:tc>
          <w:tcPr>
            <w:tcW w:w="2047" w:type="dxa"/>
            <w:vAlign w:val="center"/>
          </w:tcPr>
          <w:p w14:paraId="5D873E06">
            <w:pPr>
              <w:spacing w:line="240" w:lineRule="auto"/>
              <w:jc w:val="center"/>
              <w:rPr>
                <w:rFonts w:hint="eastAsia" w:ascii="彩虹粗仿宋" w:eastAsia="彩虹粗仿宋"/>
                <w:sz w:val="21"/>
                <w:szCs w:val="21"/>
                <w:vertAlign w:val="baseline"/>
              </w:rPr>
            </w:pPr>
            <w:r>
              <w:rPr>
                <w:rFonts w:hint="eastAsia" w:ascii="彩虹粗仿宋" w:eastAsia="彩虹粗仿宋"/>
                <w:sz w:val="21"/>
                <w:szCs w:val="21"/>
                <w:vertAlign w:val="baseline"/>
                <w:lang w:val="en-US" w:eastAsia="zh-CN"/>
              </w:rPr>
              <w:t>不超过100亿份</w:t>
            </w:r>
          </w:p>
        </w:tc>
      </w:tr>
      <w:tr w14:paraId="61139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3485" w:type="dxa"/>
            <w:vMerge w:val="continue"/>
            <w:tcBorders/>
            <w:vAlign w:val="center"/>
          </w:tcPr>
          <w:p w14:paraId="0F7C368F">
            <w:pPr>
              <w:spacing w:line="240" w:lineRule="auto"/>
              <w:jc w:val="center"/>
              <w:rPr>
                <w:rFonts w:hint="default" w:ascii="彩虹粗仿宋" w:eastAsia="彩虹粗仿宋"/>
                <w:sz w:val="21"/>
                <w:szCs w:val="21"/>
                <w:vertAlign w:val="baseline"/>
                <w:lang w:val="en-US" w:eastAsia="zh-CN"/>
              </w:rPr>
            </w:pPr>
          </w:p>
        </w:tc>
        <w:tc>
          <w:tcPr>
            <w:tcW w:w="1893" w:type="dxa"/>
            <w:vAlign w:val="center"/>
          </w:tcPr>
          <w:p w14:paraId="11CC214E">
            <w:pPr>
              <w:spacing w:line="240" w:lineRule="auto"/>
              <w:jc w:val="center"/>
              <w:rPr>
                <w:rFonts w:hint="eastAsia" w:ascii="彩虹粗仿宋" w:eastAsia="彩虹粗仿宋"/>
                <w:sz w:val="21"/>
                <w:szCs w:val="21"/>
                <w:vertAlign w:val="baseline"/>
                <w:lang w:val="en-US" w:eastAsia="zh-CN"/>
              </w:rPr>
            </w:pPr>
            <w:r>
              <w:rPr>
                <w:rFonts w:hint="eastAsia" w:ascii="彩虹粗仿宋" w:eastAsia="彩虹粗仿宋"/>
                <w:sz w:val="21"/>
                <w:szCs w:val="21"/>
                <w:vertAlign w:val="baseline"/>
                <w:lang w:val="en-US" w:eastAsia="zh-CN"/>
              </w:rPr>
              <w:t>申购起点金额</w:t>
            </w:r>
          </w:p>
        </w:tc>
        <w:tc>
          <w:tcPr>
            <w:tcW w:w="1893" w:type="dxa"/>
            <w:vAlign w:val="center"/>
          </w:tcPr>
          <w:p w14:paraId="7A3F81AD">
            <w:pPr>
              <w:spacing w:line="240" w:lineRule="auto"/>
              <w:jc w:val="center"/>
              <w:rPr>
                <w:rFonts w:hint="eastAsia" w:ascii="彩虹粗仿宋" w:eastAsia="彩虹粗仿宋"/>
                <w:sz w:val="21"/>
                <w:szCs w:val="21"/>
                <w:vertAlign w:val="baseline"/>
                <w:lang w:val="en-US" w:eastAsia="zh-CN"/>
              </w:rPr>
            </w:pPr>
            <w:r>
              <w:rPr>
                <w:rFonts w:hint="eastAsia" w:ascii="彩虹粗仿宋" w:eastAsia="彩虹粗仿宋"/>
                <w:sz w:val="21"/>
                <w:szCs w:val="21"/>
                <w:vertAlign w:val="baseline"/>
                <w:lang w:val="en-US" w:eastAsia="zh-CN"/>
              </w:rPr>
              <w:t>3亿元起购</w:t>
            </w:r>
          </w:p>
        </w:tc>
        <w:tc>
          <w:tcPr>
            <w:tcW w:w="2047" w:type="dxa"/>
            <w:vAlign w:val="center"/>
          </w:tcPr>
          <w:p w14:paraId="36A5606F">
            <w:pPr>
              <w:spacing w:line="240" w:lineRule="auto"/>
              <w:jc w:val="center"/>
              <w:rPr>
                <w:rFonts w:hint="eastAsia" w:ascii="彩虹粗仿宋" w:eastAsia="彩虹粗仿宋"/>
                <w:sz w:val="21"/>
                <w:szCs w:val="21"/>
                <w:vertAlign w:val="baseline"/>
                <w:lang w:val="en-US" w:eastAsia="zh-CN"/>
              </w:rPr>
            </w:pPr>
            <w:r>
              <w:rPr>
                <w:rFonts w:hint="eastAsia" w:ascii="彩虹粗仿宋" w:eastAsia="彩虹粗仿宋"/>
                <w:szCs w:val="21"/>
                <w:lang w:val="en-US" w:eastAsia="zh-CN"/>
              </w:rPr>
              <w:t>1000万</w:t>
            </w:r>
            <w:r>
              <w:rPr>
                <w:rFonts w:hint="eastAsia" w:ascii="彩虹粗仿宋" w:eastAsia="彩虹粗仿宋"/>
                <w:szCs w:val="21"/>
              </w:rPr>
              <w:t>元起购</w:t>
            </w:r>
          </w:p>
        </w:tc>
      </w:tr>
      <w:tr w14:paraId="14615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3485" w:type="dxa"/>
            <w:vMerge w:val="continue"/>
            <w:tcBorders/>
            <w:vAlign w:val="center"/>
          </w:tcPr>
          <w:p w14:paraId="3CBBF9BA">
            <w:pPr>
              <w:spacing w:line="240" w:lineRule="auto"/>
              <w:jc w:val="center"/>
              <w:rPr>
                <w:rFonts w:hint="default" w:ascii="彩虹粗仿宋" w:eastAsia="彩虹粗仿宋"/>
                <w:sz w:val="21"/>
                <w:szCs w:val="21"/>
                <w:vertAlign w:val="baseline"/>
                <w:lang w:val="en-US" w:eastAsia="zh-CN"/>
              </w:rPr>
            </w:pPr>
          </w:p>
        </w:tc>
        <w:tc>
          <w:tcPr>
            <w:tcW w:w="1893" w:type="dxa"/>
            <w:vAlign w:val="center"/>
          </w:tcPr>
          <w:p w14:paraId="00D3708C">
            <w:pPr>
              <w:spacing w:line="240" w:lineRule="auto"/>
              <w:jc w:val="center"/>
              <w:rPr>
                <w:rFonts w:hint="eastAsia" w:ascii="彩虹粗仿宋" w:eastAsia="彩虹粗仿宋"/>
                <w:sz w:val="21"/>
                <w:szCs w:val="21"/>
                <w:vertAlign w:val="baseline"/>
                <w:lang w:val="en-US" w:eastAsia="zh-CN"/>
              </w:rPr>
            </w:pPr>
            <w:r>
              <w:rPr>
                <w:rFonts w:hint="eastAsia" w:ascii="彩虹粗仿宋" w:eastAsia="彩虹粗仿宋"/>
                <w:sz w:val="21"/>
                <w:szCs w:val="21"/>
                <w:vertAlign w:val="baseline"/>
                <w:lang w:val="en-US" w:eastAsia="zh-CN"/>
              </w:rPr>
              <w:t>单客持有份额</w:t>
            </w:r>
          </w:p>
        </w:tc>
        <w:tc>
          <w:tcPr>
            <w:tcW w:w="1893" w:type="dxa"/>
            <w:vAlign w:val="center"/>
          </w:tcPr>
          <w:p w14:paraId="3816C5FC">
            <w:pPr>
              <w:spacing w:line="240" w:lineRule="auto"/>
              <w:jc w:val="center"/>
              <w:rPr>
                <w:rFonts w:hint="eastAsia" w:ascii="彩虹粗仿宋" w:eastAsia="彩虹粗仿宋"/>
                <w:sz w:val="21"/>
                <w:szCs w:val="21"/>
                <w:vertAlign w:val="baseline"/>
                <w:lang w:val="en-US" w:eastAsia="zh-CN"/>
              </w:rPr>
            </w:pPr>
            <w:r>
              <w:rPr>
                <w:rFonts w:hint="eastAsia" w:ascii="彩虹粗仿宋" w:eastAsia="彩虹粗仿宋"/>
                <w:sz w:val="21"/>
                <w:szCs w:val="21"/>
                <w:vertAlign w:val="baseline"/>
                <w:lang w:val="en-US" w:eastAsia="zh-CN"/>
              </w:rPr>
              <w:t>不超过5亿份</w:t>
            </w:r>
          </w:p>
        </w:tc>
        <w:tc>
          <w:tcPr>
            <w:tcW w:w="2047" w:type="dxa"/>
            <w:vAlign w:val="center"/>
          </w:tcPr>
          <w:p w14:paraId="1A5D6E3B">
            <w:pPr>
              <w:spacing w:line="240" w:lineRule="auto"/>
              <w:jc w:val="center"/>
              <w:rPr>
                <w:rFonts w:hint="default" w:ascii="彩虹粗仿宋" w:eastAsia="彩虹粗仿宋"/>
                <w:sz w:val="21"/>
                <w:szCs w:val="21"/>
                <w:vertAlign w:val="baseline"/>
                <w:lang w:val="en-US" w:eastAsia="zh-CN"/>
              </w:rPr>
            </w:pPr>
            <w:r>
              <w:rPr>
                <w:rFonts w:hint="eastAsia" w:ascii="彩虹粗仿宋" w:eastAsia="彩虹粗仿宋"/>
                <w:sz w:val="21"/>
                <w:szCs w:val="21"/>
                <w:vertAlign w:val="baseline"/>
                <w:lang w:val="en-US" w:eastAsia="zh-CN"/>
              </w:rPr>
              <w:t>不限制</w:t>
            </w:r>
          </w:p>
        </w:tc>
      </w:tr>
    </w:tbl>
    <w:p w14:paraId="03D9E3BE">
      <w:pPr>
        <w:spacing w:line="560" w:lineRule="exact"/>
        <w:ind w:firstLine="640" w:firstLineChars="200"/>
        <w:rPr>
          <w:rFonts w:hint="eastAsia" w:ascii="彩虹粗仿宋" w:eastAsia="彩虹粗仿宋"/>
          <w:sz w:val="32"/>
          <w:szCs w:val="32"/>
        </w:rPr>
      </w:pPr>
      <w:r>
        <w:rPr>
          <w:rFonts w:hint="eastAsia" w:ascii="彩虹粗仿宋" w:eastAsia="彩虹粗仿宋"/>
          <w:sz w:val="32"/>
          <w:szCs w:val="32"/>
        </w:rPr>
        <w:t>建信理财有限责任公司将本着勤勉尽职的原则持续为您提供专业化理财服务。</w:t>
      </w:r>
    </w:p>
    <w:p w14:paraId="2DA1A337">
      <w:pPr>
        <w:spacing w:line="560" w:lineRule="exact"/>
        <w:ind w:firstLine="640" w:firstLineChars="200"/>
        <w:rPr>
          <w:rFonts w:hint="eastAsia" w:ascii="彩虹粗仿宋" w:eastAsia="彩虹粗仿宋"/>
          <w:sz w:val="32"/>
          <w:szCs w:val="32"/>
        </w:rPr>
      </w:pPr>
      <w:r>
        <w:rPr>
          <w:rFonts w:hint="eastAsia" w:ascii="彩虹粗仿宋" w:eastAsia="彩虹粗仿宋"/>
          <w:sz w:val="32"/>
          <w:szCs w:val="32"/>
        </w:rPr>
        <w:t>特此公告。</w:t>
      </w:r>
    </w:p>
    <w:p w14:paraId="2A33C18B">
      <w:pPr>
        <w:spacing w:line="560" w:lineRule="exact"/>
        <w:ind w:firstLine="640" w:firstLineChars="200"/>
        <w:rPr>
          <w:rFonts w:ascii="彩虹粗仿宋" w:eastAsia="彩虹粗仿宋"/>
          <w:sz w:val="32"/>
          <w:szCs w:val="32"/>
        </w:rPr>
      </w:pPr>
    </w:p>
    <w:p w14:paraId="078B9DAE">
      <w:pPr>
        <w:spacing w:line="560" w:lineRule="exact"/>
        <w:ind w:firstLine="640" w:firstLineChars="200"/>
        <w:rPr>
          <w:rFonts w:ascii="彩虹粗仿宋" w:eastAsia="彩虹粗仿宋"/>
          <w:sz w:val="32"/>
          <w:szCs w:val="32"/>
        </w:rPr>
      </w:pPr>
    </w:p>
    <w:p w14:paraId="548A4C1B">
      <w:pPr>
        <w:spacing w:line="560" w:lineRule="exact"/>
        <w:ind w:firstLine="640" w:firstLineChars="200"/>
        <w:rPr>
          <w:rFonts w:ascii="彩虹粗仿宋" w:eastAsia="彩虹粗仿宋"/>
          <w:sz w:val="32"/>
          <w:szCs w:val="32"/>
        </w:rPr>
      </w:pPr>
      <w:r>
        <w:rPr>
          <w:rFonts w:hint="eastAsia" w:ascii="彩虹粗仿宋" w:eastAsia="彩虹粗仿宋"/>
          <w:sz w:val="32"/>
          <w:szCs w:val="32"/>
        </w:rPr>
        <w:t xml:space="preserve">  </w:t>
      </w:r>
      <w:r>
        <w:rPr>
          <w:rFonts w:ascii="彩虹粗仿宋" w:eastAsia="彩虹粗仿宋"/>
          <w:sz w:val="32"/>
          <w:szCs w:val="32"/>
        </w:rPr>
        <w:t xml:space="preserve">                        </w:t>
      </w:r>
      <w:r>
        <w:rPr>
          <w:rFonts w:hint="eastAsia" w:ascii="彩虹粗仿宋" w:eastAsia="彩虹粗仿宋"/>
          <w:sz w:val="32"/>
          <w:szCs w:val="32"/>
        </w:rPr>
        <w:t xml:space="preserve"> 建信理财有限责任公司</w:t>
      </w:r>
    </w:p>
    <w:p w14:paraId="2F64DD99">
      <w:pPr>
        <w:spacing w:line="560" w:lineRule="exact"/>
        <w:ind w:firstLine="5440" w:firstLineChars="1700"/>
        <w:rPr>
          <w:rFonts w:ascii="彩虹粗仿宋" w:eastAsia="彩虹粗仿宋"/>
          <w:sz w:val="32"/>
          <w:szCs w:val="32"/>
        </w:rPr>
      </w:pPr>
      <w:r>
        <w:rPr>
          <w:rFonts w:hint="eastAsia" w:ascii="彩虹粗仿宋" w:eastAsia="彩虹粗仿宋"/>
          <w:sz w:val="32"/>
          <w:szCs w:val="32"/>
        </w:rPr>
        <w:t>202</w:t>
      </w:r>
      <w:r>
        <w:rPr>
          <w:rFonts w:hint="eastAsia" w:ascii="彩虹粗仿宋" w:eastAsia="彩虹粗仿宋"/>
          <w:sz w:val="32"/>
          <w:szCs w:val="32"/>
          <w:lang w:val="en-US" w:eastAsia="zh-CN"/>
        </w:rPr>
        <w:t>6</w:t>
      </w:r>
      <w:r>
        <w:rPr>
          <w:rFonts w:hint="eastAsia" w:ascii="彩虹粗仿宋" w:eastAsia="彩虹粗仿宋"/>
          <w:sz w:val="32"/>
          <w:szCs w:val="32"/>
        </w:rPr>
        <w:t>年</w:t>
      </w:r>
      <w:r>
        <w:rPr>
          <w:rFonts w:hint="eastAsia" w:ascii="彩虹粗仿宋" w:eastAsia="彩虹粗仿宋"/>
          <w:sz w:val="32"/>
          <w:szCs w:val="32"/>
          <w:lang w:val="en-US" w:eastAsia="zh-CN"/>
        </w:rPr>
        <w:t>7</w:t>
      </w:r>
      <w:r>
        <w:rPr>
          <w:rFonts w:hint="eastAsia" w:ascii="彩虹粗仿宋" w:eastAsia="彩虹粗仿宋"/>
          <w:sz w:val="32"/>
          <w:szCs w:val="32"/>
        </w:rPr>
        <w:t>月</w:t>
      </w:r>
      <w:r>
        <w:rPr>
          <w:rFonts w:hint="eastAsia" w:ascii="彩虹粗仿宋" w:eastAsia="彩虹粗仿宋"/>
          <w:sz w:val="32"/>
          <w:szCs w:val="32"/>
          <w:lang w:val="en-US" w:eastAsia="zh-CN"/>
        </w:rPr>
        <w:t>21</w:t>
      </w:r>
      <w:r>
        <w:rPr>
          <w:rFonts w:hint="eastAsia" w:ascii="彩虹粗仿宋" w:eastAsia="彩虹粗仿宋"/>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彩虹小标宋">
    <w:panose1 w:val="03000509000000000000"/>
    <w:charset w:val="86"/>
    <w:family w:val="script"/>
    <w:pitch w:val="default"/>
    <w:sig w:usb0="00000001" w:usb1="080E0000" w:usb2="00000000" w:usb3="00000000" w:csb0="00040000" w:csb1="00000000"/>
  </w:font>
  <w:font w:name="彩虹粗仿宋">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hkZmQzYzU2MWU4OTg1ZjQ0MjVmZjgxZjk0YTljMmYifQ=="/>
  </w:docVars>
  <w:rsids>
    <w:rsidRoot w:val="001428A6"/>
    <w:rsid w:val="000241C8"/>
    <w:rsid w:val="0005242D"/>
    <w:rsid w:val="00066939"/>
    <w:rsid w:val="001428A6"/>
    <w:rsid w:val="00185B11"/>
    <w:rsid w:val="0019582C"/>
    <w:rsid w:val="001C381B"/>
    <w:rsid w:val="00205C8A"/>
    <w:rsid w:val="00206F79"/>
    <w:rsid w:val="00214562"/>
    <w:rsid w:val="002532EE"/>
    <w:rsid w:val="00272D68"/>
    <w:rsid w:val="002D3336"/>
    <w:rsid w:val="002E3ECE"/>
    <w:rsid w:val="002F2DAA"/>
    <w:rsid w:val="00326FE7"/>
    <w:rsid w:val="003357F0"/>
    <w:rsid w:val="003C5294"/>
    <w:rsid w:val="003D7CFA"/>
    <w:rsid w:val="004B40CC"/>
    <w:rsid w:val="004C0C5D"/>
    <w:rsid w:val="00505B5C"/>
    <w:rsid w:val="00586B28"/>
    <w:rsid w:val="005A0F9C"/>
    <w:rsid w:val="005F5AE8"/>
    <w:rsid w:val="005F6936"/>
    <w:rsid w:val="0064427A"/>
    <w:rsid w:val="006548A0"/>
    <w:rsid w:val="00654A55"/>
    <w:rsid w:val="0066655D"/>
    <w:rsid w:val="006674CF"/>
    <w:rsid w:val="0067161F"/>
    <w:rsid w:val="0068278D"/>
    <w:rsid w:val="006912E0"/>
    <w:rsid w:val="006A63AD"/>
    <w:rsid w:val="00760000"/>
    <w:rsid w:val="0076079D"/>
    <w:rsid w:val="00792813"/>
    <w:rsid w:val="007C0139"/>
    <w:rsid w:val="007C1916"/>
    <w:rsid w:val="007C33BC"/>
    <w:rsid w:val="007C3955"/>
    <w:rsid w:val="007F34E4"/>
    <w:rsid w:val="00811669"/>
    <w:rsid w:val="008852F8"/>
    <w:rsid w:val="008B2407"/>
    <w:rsid w:val="008C5E52"/>
    <w:rsid w:val="008F7202"/>
    <w:rsid w:val="00905D50"/>
    <w:rsid w:val="009101AB"/>
    <w:rsid w:val="009206C0"/>
    <w:rsid w:val="009704A5"/>
    <w:rsid w:val="009B037B"/>
    <w:rsid w:val="00A27E25"/>
    <w:rsid w:val="00A412B1"/>
    <w:rsid w:val="00A506CC"/>
    <w:rsid w:val="00A60679"/>
    <w:rsid w:val="00A84031"/>
    <w:rsid w:val="00B8546A"/>
    <w:rsid w:val="00BA47A7"/>
    <w:rsid w:val="00BD576B"/>
    <w:rsid w:val="00C034CF"/>
    <w:rsid w:val="00C21A9A"/>
    <w:rsid w:val="00C406D4"/>
    <w:rsid w:val="00C504AE"/>
    <w:rsid w:val="00CE5F95"/>
    <w:rsid w:val="00D15B3B"/>
    <w:rsid w:val="00D74827"/>
    <w:rsid w:val="00D806D9"/>
    <w:rsid w:val="00DB6005"/>
    <w:rsid w:val="00DD228E"/>
    <w:rsid w:val="00E33E2A"/>
    <w:rsid w:val="00E64DEE"/>
    <w:rsid w:val="00E846D8"/>
    <w:rsid w:val="00E9072F"/>
    <w:rsid w:val="00EA6AD7"/>
    <w:rsid w:val="00EC5809"/>
    <w:rsid w:val="00F31745"/>
    <w:rsid w:val="00F336DE"/>
    <w:rsid w:val="00F73D21"/>
    <w:rsid w:val="00FB504D"/>
    <w:rsid w:val="07C36B9E"/>
    <w:rsid w:val="0B692294"/>
    <w:rsid w:val="0DE4769D"/>
    <w:rsid w:val="19D8550B"/>
    <w:rsid w:val="1E5C58CD"/>
    <w:rsid w:val="1FAD1145"/>
    <w:rsid w:val="25A32D1B"/>
    <w:rsid w:val="2AC829A5"/>
    <w:rsid w:val="35C843A0"/>
    <w:rsid w:val="378709BB"/>
    <w:rsid w:val="398137B6"/>
    <w:rsid w:val="51661225"/>
    <w:rsid w:val="56184360"/>
    <w:rsid w:val="5D7819E8"/>
    <w:rsid w:val="6563093F"/>
    <w:rsid w:val="67A35B67"/>
    <w:rsid w:val="69C7466E"/>
    <w:rsid w:val="6F8042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semiHidden/>
    <w:unhideWhenUsed/>
    <w:qFormat/>
    <w:uiPriority w:val="99"/>
    <w:pPr>
      <w:jc w:val="left"/>
    </w:pPr>
  </w:style>
  <w:style w:type="paragraph" w:styleId="3">
    <w:name w:val="Balloon Text"/>
    <w:basedOn w:val="1"/>
    <w:link w:val="13"/>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5"/>
    <w:semiHidden/>
    <w:unhideWhenUsed/>
    <w:qFormat/>
    <w:uiPriority w:val="99"/>
    <w:rPr>
      <w:b/>
      <w:bCs/>
    </w:rPr>
  </w:style>
  <w:style w:type="table" w:styleId="8">
    <w:name w:val="Table Grid"/>
    <w:basedOn w:val="7"/>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semiHidden/>
    <w:unhideWhenUsed/>
    <w:qFormat/>
    <w:uiPriority w:val="99"/>
    <w:rPr>
      <w:sz w:val="21"/>
      <w:szCs w:val="21"/>
    </w:rPr>
  </w:style>
  <w:style w:type="character" w:customStyle="1" w:styleId="11">
    <w:name w:val="页眉 字符"/>
    <w:basedOn w:val="9"/>
    <w:link w:val="5"/>
    <w:qFormat/>
    <w:uiPriority w:val="99"/>
    <w:rPr>
      <w:sz w:val="18"/>
      <w:szCs w:val="18"/>
    </w:rPr>
  </w:style>
  <w:style w:type="character" w:customStyle="1" w:styleId="12">
    <w:name w:val="页脚 字符"/>
    <w:basedOn w:val="9"/>
    <w:link w:val="4"/>
    <w:qFormat/>
    <w:uiPriority w:val="99"/>
    <w:rPr>
      <w:sz w:val="18"/>
      <w:szCs w:val="18"/>
    </w:rPr>
  </w:style>
  <w:style w:type="character" w:customStyle="1" w:styleId="13">
    <w:name w:val="批注框文本 字符"/>
    <w:basedOn w:val="9"/>
    <w:link w:val="3"/>
    <w:semiHidden/>
    <w:qFormat/>
    <w:uiPriority w:val="99"/>
    <w:rPr>
      <w:sz w:val="18"/>
      <w:szCs w:val="18"/>
    </w:rPr>
  </w:style>
  <w:style w:type="character" w:customStyle="1" w:styleId="14">
    <w:name w:val="批注文字 字符"/>
    <w:basedOn w:val="9"/>
    <w:link w:val="2"/>
    <w:semiHidden/>
    <w:qFormat/>
    <w:uiPriority w:val="99"/>
  </w:style>
  <w:style w:type="character" w:customStyle="1" w:styleId="15">
    <w:name w:val="批注主题 字符"/>
    <w:basedOn w:val="14"/>
    <w:link w:val="6"/>
    <w:semiHidden/>
    <w:qFormat/>
    <w:uiPriority w:val="99"/>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302</Words>
  <Characters>343</Characters>
  <Lines>1</Lines>
  <Paragraphs>1</Paragraphs>
  <TotalTime>0</TotalTime>
  <ScaleCrop>false</ScaleCrop>
  <LinksUpToDate>false</LinksUpToDate>
  <CharactersWithSpaces>370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2023-04-27T10:01:00Z</dcterms:created>
  <dc:creator>产品管理部</dc:creator>
  <cp:lastModifiedBy>jxlc</cp:lastModifiedBy>
  <dcterms:modified xsi:type="dcterms:W3CDTF">2026-07-21T01:41:22Z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35E59E3E719444FA8F1E3DCF81585AF7_13</vt:lpwstr>
  </property>
</Properties>
</file>