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0D1367">
      <w:pPr>
        <w:widowControl/>
        <w:spacing w:before="100" w:beforeAutospacing="1" w:after="100" w:afterAutospacing="1" w:line="460" w:lineRule="atLeast"/>
        <w:jc w:val="center"/>
        <w:rPr>
          <w:rFonts w:hint="eastAsia" w:ascii="宋体" w:hAnsi="宋体" w:eastAsia="宋体" w:cs="Arial"/>
          <w:b/>
          <w:color w:val="000000"/>
          <w:kern w:val="0"/>
          <w:szCs w:val="21"/>
          <w:lang w:val="en-US" w:eastAsia="zh-CN"/>
        </w:rPr>
      </w:pPr>
      <w:bookmarkStart w:id="0" w:name="_GoBack"/>
      <w:r>
        <w:rPr>
          <w:rFonts w:hint="eastAsia" w:ascii="宋体" w:hAnsi="宋体" w:eastAsia="宋体" w:cs="Arial"/>
          <w:b/>
          <w:color w:val="000000"/>
          <w:kern w:val="0"/>
          <w:szCs w:val="21"/>
        </w:rPr>
        <w:t>关于</w:t>
      </w:r>
      <w:r>
        <w:rPr>
          <w:rFonts w:hint="eastAsia" w:ascii="宋体" w:hAnsi="宋体" w:eastAsia="宋体" w:cs="Arial"/>
          <w:b/>
          <w:color w:val="000000"/>
          <w:kern w:val="0"/>
          <w:szCs w:val="21"/>
          <w:lang w:val="en-US" w:eastAsia="zh-CN"/>
        </w:rPr>
        <w:t>建信理财嘉鑫（稳利）法人版固收类按日开放式产品第138期管理费率优惠</w:t>
      </w:r>
      <w:r>
        <w:rPr>
          <w:rFonts w:hint="eastAsia" w:ascii="宋体" w:hAnsi="宋体" w:eastAsia="宋体" w:cs="Arial"/>
          <w:b/>
          <w:color w:val="000000"/>
          <w:kern w:val="0"/>
          <w:szCs w:val="21"/>
        </w:rPr>
        <w:t>的公告</w:t>
      </w:r>
    </w:p>
    <w:bookmarkEnd w:id="0"/>
    <w:p w14:paraId="04D52AA8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60" w:lineRule="atLeast"/>
        <w:rPr>
          <w:rFonts w:ascii="微软雅黑" w:hAnsi="微软雅黑" w:eastAsia="微软雅黑" w:cs="Arial"/>
          <w:color w:val="666666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尊敬的客户：</w:t>
      </w:r>
    </w:p>
    <w:p w14:paraId="4D96177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60" w:lineRule="atLeast"/>
        <w:ind w:firstLine="420"/>
        <w:rPr>
          <w:rFonts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为更好地为客户提供投资理财服务，建信理财有限责任公司拟</w:t>
      </w:r>
      <w:r>
        <w:rPr>
          <w:rFonts w:hint="eastAsia" w:cs="Arial"/>
          <w:color w:val="000000"/>
          <w:sz w:val="21"/>
          <w:szCs w:val="21"/>
          <w:lang w:val="en-US" w:eastAsia="zh-CN"/>
        </w:rPr>
        <w:t>对</w:t>
      </w:r>
      <w:r>
        <w:rPr>
          <w:rFonts w:hint="eastAsia" w:cs="Arial"/>
          <w:color w:val="000000"/>
          <w:kern w:val="0"/>
          <w:sz w:val="21"/>
          <w:szCs w:val="21"/>
          <w:lang w:val="en-US" w:eastAsia="zh-CN" w:bidi="ar-SA"/>
        </w:rPr>
        <w:t>建信理财嘉鑫（稳利）法人版固收类按日开放式产品第138期</w:t>
      </w:r>
      <w:r>
        <w:rPr>
          <w:rFonts w:hint="eastAsia" w:cs="Arial"/>
          <w:color w:val="000000"/>
          <w:sz w:val="21"/>
          <w:szCs w:val="21"/>
        </w:rPr>
        <w:t>的管理费率</w:t>
      </w:r>
      <w:r>
        <w:rPr>
          <w:rFonts w:hint="eastAsia" w:cs="Arial"/>
          <w:color w:val="000000"/>
          <w:sz w:val="21"/>
          <w:szCs w:val="21"/>
          <w:lang w:val="en-US" w:eastAsia="zh-CN"/>
        </w:rPr>
        <w:t>进行优惠</w:t>
      </w:r>
      <w:r>
        <w:rPr>
          <w:rFonts w:hint="eastAsia" w:cs="Arial"/>
          <w:color w:val="000000"/>
          <w:sz w:val="21"/>
          <w:szCs w:val="21"/>
        </w:rPr>
        <w:t>，具体调整内容如下：</w:t>
      </w:r>
    </w:p>
    <w:tbl>
      <w:tblPr>
        <w:tblStyle w:val="3"/>
        <w:tblW w:w="4601" w:type="pct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9"/>
        <w:gridCol w:w="2121"/>
        <w:gridCol w:w="2023"/>
        <w:gridCol w:w="2076"/>
        <w:gridCol w:w="2049"/>
        <w:gridCol w:w="1516"/>
      </w:tblGrid>
      <w:tr w14:paraId="6137822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tblHeader/>
          <w:jc w:val="center"/>
        </w:trPr>
        <w:tc>
          <w:tcPr>
            <w:tcW w:w="3259" w:type="dxa"/>
            <w:vMerge w:val="restart"/>
            <w:vAlign w:val="center"/>
          </w:tcPr>
          <w:p w14:paraId="17F165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产品名称</w:t>
            </w:r>
          </w:p>
        </w:tc>
        <w:tc>
          <w:tcPr>
            <w:tcW w:w="2121" w:type="dxa"/>
            <w:vMerge w:val="restart"/>
            <w:vAlign w:val="center"/>
          </w:tcPr>
          <w:p w14:paraId="560934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Style w:val="5"/>
                <w:rFonts w:hint="eastAsia" w:cs="Arial"/>
                <w:color w:val="000000"/>
                <w:sz w:val="18"/>
                <w:szCs w:val="18"/>
              </w:rPr>
              <w:t>全国银行业理财信息登记系统编号</w:t>
            </w:r>
          </w:p>
        </w:tc>
        <w:tc>
          <w:tcPr>
            <w:tcW w:w="2023" w:type="dxa"/>
            <w:vMerge w:val="restart"/>
            <w:vAlign w:val="center"/>
          </w:tcPr>
          <w:p w14:paraId="0CACA5D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jc w:val="center"/>
              <w:rPr>
                <w:rFonts w:hint="default" w:ascii="Arial" w:hAnsi="Arial" w:eastAsia="宋体" w:cs="Arial"/>
                <w:color w:val="666666"/>
                <w:sz w:val="18"/>
                <w:szCs w:val="18"/>
                <w:lang w:val="en-US" w:eastAsia="zh-CN"/>
              </w:rPr>
            </w:pPr>
            <w:r>
              <w:rPr>
                <w:rStyle w:val="5"/>
                <w:rFonts w:hint="eastAsia" w:cs="Arial"/>
                <w:color w:val="000000"/>
                <w:sz w:val="18"/>
                <w:szCs w:val="18"/>
                <w:lang w:val="en-US" w:eastAsia="zh-CN"/>
              </w:rPr>
              <w:t>优惠</w:t>
            </w:r>
            <w:r>
              <w:rPr>
                <w:rStyle w:val="5"/>
                <w:rFonts w:hint="eastAsia" w:cs="Arial"/>
                <w:color w:val="000000"/>
                <w:sz w:val="18"/>
                <w:szCs w:val="18"/>
              </w:rPr>
              <w:t>起始日</w:t>
            </w:r>
            <w:r>
              <w:rPr>
                <w:rStyle w:val="5"/>
                <w:rFonts w:hint="eastAsia" w:cs="Arial"/>
                <w:color w:val="000000"/>
                <w:sz w:val="18"/>
                <w:szCs w:val="18"/>
                <w:lang w:eastAsia="zh-CN"/>
              </w:rPr>
              <w:t>（</w:t>
            </w:r>
            <w:r>
              <w:rPr>
                <w:rStyle w:val="5"/>
                <w:rFonts w:hint="eastAsia" w:cs="Arial"/>
                <w:color w:val="000000"/>
                <w:sz w:val="18"/>
                <w:szCs w:val="18"/>
                <w:lang w:val="en-US" w:eastAsia="zh-CN"/>
              </w:rPr>
              <w:t>含）</w:t>
            </w:r>
          </w:p>
        </w:tc>
        <w:tc>
          <w:tcPr>
            <w:tcW w:w="2076" w:type="dxa"/>
            <w:vMerge w:val="restart"/>
            <w:vAlign w:val="center"/>
          </w:tcPr>
          <w:p w14:paraId="71B95EC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jc w:val="center"/>
              <w:rPr>
                <w:rFonts w:hint="default" w:ascii="Arial" w:hAnsi="Arial" w:eastAsia="宋体" w:cs="Arial"/>
                <w:color w:val="666666"/>
                <w:sz w:val="18"/>
                <w:szCs w:val="18"/>
                <w:lang w:val="en-US" w:eastAsia="zh-CN"/>
              </w:rPr>
            </w:pPr>
            <w:r>
              <w:rPr>
                <w:rStyle w:val="5"/>
                <w:rFonts w:hint="eastAsia" w:cs="Arial"/>
                <w:color w:val="000000"/>
                <w:sz w:val="18"/>
                <w:szCs w:val="18"/>
                <w:lang w:val="en-US" w:eastAsia="zh-CN"/>
              </w:rPr>
              <w:t>优惠结束</w:t>
            </w:r>
            <w:r>
              <w:rPr>
                <w:rStyle w:val="5"/>
                <w:rFonts w:hint="eastAsia" w:cs="Arial"/>
                <w:color w:val="000000"/>
                <w:sz w:val="18"/>
                <w:szCs w:val="18"/>
              </w:rPr>
              <w:t>日</w:t>
            </w:r>
            <w:r>
              <w:rPr>
                <w:rStyle w:val="5"/>
                <w:rFonts w:hint="eastAsia" w:cs="Arial"/>
                <w:color w:val="000000"/>
                <w:sz w:val="18"/>
                <w:szCs w:val="18"/>
                <w:lang w:eastAsia="zh-CN"/>
              </w:rPr>
              <w:t>（</w:t>
            </w:r>
            <w:r>
              <w:rPr>
                <w:rStyle w:val="5"/>
                <w:rFonts w:hint="eastAsia" w:cs="Arial"/>
                <w:color w:val="000000"/>
                <w:sz w:val="18"/>
                <w:szCs w:val="18"/>
                <w:lang w:val="en-US" w:eastAsia="zh-CN"/>
              </w:rPr>
              <w:t>含）</w:t>
            </w:r>
          </w:p>
        </w:tc>
        <w:tc>
          <w:tcPr>
            <w:tcW w:w="3565" w:type="dxa"/>
            <w:gridSpan w:val="2"/>
            <w:vAlign w:val="center"/>
          </w:tcPr>
          <w:p w14:paraId="2351C94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jc w:val="center"/>
              <w:rPr>
                <w:rStyle w:val="5"/>
                <w:color w:val="000000"/>
              </w:rPr>
            </w:pPr>
            <w:r>
              <w:rPr>
                <w:rStyle w:val="5"/>
                <w:rFonts w:hint="eastAsia" w:cs="Arial"/>
                <w:color w:val="000000"/>
                <w:sz w:val="18"/>
                <w:szCs w:val="18"/>
              </w:rPr>
              <w:t>管理费率（年化）</w:t>
            </w:r>
          </w:p>
        </w:tc>
      </w:tr>
      <w:tr w14:paraId="7985BD4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tblHeader/>
          <w:jc w:val="center"/>
        </w:trPr>
        <w:tc>
          <w:tcPr>
            <w:tcW w:w="3259" w:type="dxa"/>
            <w:vMerge w:val="continue"/>
            <w:vAlign w:val="center"/>
          </w:tcPr>
          <w:p w14:paraId="71607D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121" w:type="dxa"/>
            <w:vMerge w:val="continue"/>
            <w:vAlign w:val="center"/>
          </w:tcPr>
          <w:p w14:paraId="7953AD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23" w:type="dxa"/>
            <w:vMerge w:val="continue"/>
            <w:vAlign w:val="center"/>
          </w:tcPr>
          <w:p w14:paraId="4B4605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ascii="Arial" w:hAnsi="Arial" w:eastAsia="宋体" w:cs="Arial"/>
                <w:color w:val="666666"/>
                <w:kern w:val="0"/>
                <w:sz w:val="18"/>
                <w:szCs w:val="18"/>
              </w:rPr>
            </w:pPr>
          </w:p>
        </w:tc>
        <w:tc>
          <w:tcPr>
            <w:tcW w:w="2076" w:type="dxa"/>
            <w:vMerge w:val="continue"/>
            <w:vAlign w:val="center"/>
          </w:tcPr>
          <w:p w14:paraId="5B1DAA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ascii="Arial" w:hAnsi="Arial" w:eastAsia="宋体" w:cs="Arial"/>
                <w:color w:val="666666"/>
                <w:kern w:val="0"/>
                <w:sz w:val="18"/>
                <w:szCs w:val="18"/>
              </w:rPr>
            </w:pPr>
          </w:p>
        </w:tc>
        <w:tc>
          <w:tcPr>
            <w:tcW w:w="2049" w:type="dxa"/>
            <w:vAlign w:val="center"/>
          </w:tcPr>
          <w:p w14:paraId="518B532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jc w:val="center"/>
              <w:rPr>
                <w:rStyle w:val="5"/>
                <w:rFonts w:cs="Arial"/>
                <w:color w:val="000000"/>
                <w:sz w:val="18"/>
                <w:szCs w:val="18"/>
              </w:rPr>
            </w:pPr>
            <w:r>
              <w:rPr>
                <w:rStyle w:val="5"/>
                <w:rFonts w:hint="eastAsia" w:cs="Arial"/>
                <w:color w:val="000000"/>
                <w:sz w:val="18"/>
                <w:szCs w:val="18"/>
                <w:lang w:val="en-US" w:eastAsia="zh-CN"/>
              </w:rPr>
              <w:t>优惠</w:t>
            </w:r>
            <w:r>
              <w:rPr>
                <w:rStyle w:val="5"/>
                <w:rFonts w:hint="eastAsia" w:cs="Arial"/>
                <w:color w:val="000000"/>
                <w:sz w:val="18"/>
                <w:szCs w:val="18"/>
              </w:rPr>
              <w:t>前</w:t>
            </w:r>
          </w:p>
        </w:tc>
        <w:tc>
          <w:tcPr>
            <w:tcW w:w="1516" w:type="dxa"/>
            <w:vAlign w:val="center"/>
          </w:tcPr>
          <w:p w14:paraId="78E38C2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jc w:val="center"/>
              <w:rPr>
                <w:rStyle w:val="5"/>
                <w:rFonts w:cs="Arial"/>
                <w:color w:val="000000"/>
                <w:sz w:val="18"/>
                <w:szCs w:val="18"/>
              </w:rPr>
            </w:pPr>
            <w:r>
              <w:rPr>
                <w:rStyle w:val="5"/>
                <w:rFonts w:hint="eastAsia" w:cs="Arial"/>
                <w:color w:val="000000"/>
                <w:sz w:val="18"/>
                <w:szCs w:val="18"/>
                <w:lang w:val="en-US" w:eastAsia="zh-CN"/>
              </w:rPr>
              <w:t>优惠</w:t>
            </w:r>
            <w:r>
              <w:rPr>
                <w:rStyle w:val="5"/>
                <w:rFonts w:hint="eastAsia" w:cs="Arial"/>
                <w:color w:val="000000"/>
                <w:sz w:val="18"/>
                <w:szCs w:val="18"/>
              </w:rPr>
              <w:t>后</w:t>
            </w:r>
          </w:p>
        </w:tc>
      </w:tr>
      <w:tr w14:paraId="46F5D39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3259" w:type="dxa"/>
            <w:vAlign w:val="center"/>
          </w:tcPr>
          <w:p w14:paraId="46F3A3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Arial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1"/>
                <w:szCs w:val="21"/>
                <w:lang w:val="en-US" w:eastAsia="zh-CN" w:bidi="ar-SA"/>
              </w:rPr>
              <w:t>建信理财嘉鑫（稳利）法人版固收类按日开放式产品第138期</w:t>
            </w:r>
          </w:p>
        </w:tc>
        <w:tc>
          <w:tcPr>
            <w:tcW w:w="2121" w:type="dxa"/>
            <w:vAlign w:val="center"/>
          </w:tcPr>
          <w:p w14:paraId="370B5F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Z7000726001278</w:t>
            </w:r>
          </w:p>
        </w:tc>
        <w:tc>
          <w:tcPr>
            <w:tcW w:w="2023" w:type="dxa"/>
            <w:vAlign w:val="center"/>
          </w:tcPr>
          <w:p w14:paraId="22E60F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202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/>
                <w:color w:val="000000"/>
                <w:sz w:val="18"/>
                <w:szCs w:val="18"/>
              </w:rPr>
              <w:t>年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/>
                <w:color w:val="000000"/>
                <w:sz w:val="18"/>
                <w:szCs w:val="18"/>
              </w:rPr>
              <w:t>月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29</w:t>
            </w:r>
            <w:r>
              <w:rPr>
                <w:rFonts w:hint="eastAsia"/>
                <w:color w:val="000000"/>
                <w:sz w:val="18"/>
                <w:szCs w:val="18"/>
              </w:rPr>
              <w:t>日</w:t>
            </w:r>
          </w:p>
        </w:tc>
        <w:tc>
          <w:tcPr>
            <w:tcW w:w="2076" w:type="dxa"/>
            <w:vAlign w:val="center"/>
          </w:tcPr>
          <w:p w14:paraId="6A0487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202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/>
                <w:color w:val="000000"/>
                <w:sz w:val="18"/>
                <w:szCs w:val="18"/>
              </w:rPr>
              <w:t>年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/>
                <w:color w:val="000000"/>
                <w:sz w:val="18"/>
                <w:szCs w:val="18"/>
              </w:rPr>
              <w:t>月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29</w:t>
            </w:r>
            <w:r>
              <w:rPr>
                <w:rFonts w:hint="eastAsia"/>
                <w:color w:val="000000"/>
                <w:sz w:val="18"/>
                <w:szCs w:val="18"/>
              </w:rPr>
              <w:t>日</w:t>
            </w:r>
          </w:p>
        </w:tc>
        <w:tc>
          <w:tcPr>
            <w:tcW w:w="2049" w:type="dxa"/>
            <w:vAlign w:val="center"/>
          </w:tcPr>
          <w:p w14:paraId="48D9A8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516" w:type="dxa"/>
            <w:vAlign w:val="center"/>
          </w:tcPr>
          <w:p w14:paraId="659EFA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01</w:t>
            </w:r>
            <w:r>
              <w:rPr>
                <w:rFonts w:hint="eastAsia"/>
                <w:color w:val="000000"/>
                <w:sz w:val="18"/>
                <w:szCs w:val="18"/>
              </w:rPr>
              <w:t>%</w:t>
            </w:r>
          </w:p>
        </w:tc>
      </w:tr>
    </w:tbl>
    <w:p w14:paraId="53C04E10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60" w:lineRule="atLeast"/>
        <w:ind w:firstLine="420"/>
        <w:rPr>
          <w:rFonts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自</w:t>
      </w:r>
      <w:r>
        <w:rPr>
          <w:rFonts w:hint="eastAsia" w:cs="Arial"/>
          <w:color w:val="000000"/>
          <w:sz w:val="21"/>
          <w:szCs w:val="21"/>
          <w:lang w:val="en-US" w:eastAsia="zh-CN"/>
        </w:rPr>
        <w:t>优惠结束日</w:t>
      </w:r>
      <w:r>
        <w:rPr>
          <w:rFonts w:hint="eastAsia" w:cs="Arial"/>
          <w:color w:val="000000"/>
          <w:sz w:val="21"/>
          <w:szCs w:val="21"/>
        </w:rPr>
        <w:t>后，管理费率恢复至原费率水平。</w:t>
      </w:r>
    </w:p>
    <w:p w14:paraId="4948549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60" w:lineRule="atLeast"/>
        <w:ind w:firstLine="420"/>
        <w:rPr>
          <w:rFonts w:ascii="微软雅黑" w:hAnsi="微软雅黑" w:eastAsia="微软雅黑" w:cs="Arial"/>
          <w:color w:val="666666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本公告未提及事宜，按原产品说明书和风险揭示书的约定执行。</w:t>
      </w:r>
    </w:p>
    <w:p w14:paraId="57192C0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60" w:lineRule="atLeast"/>
        <w:ind w:firstLine="420"/>
        <w:rPr>
          <w:rFonts w:hint="eastAsia" w:cs="Arial"/>
          <w:color w:val="000000"/>
          <w:sz w:val="21"/>
          <w:szCs w:val="21"/>
        </w:rPr>
      </w:pPr>
      <w:r>
        <w:rPr>
          <w:rFonts w:hint="eastAsia" w:ascii="微软雅黑" w:hAnsi="微软雅黑" w:eastAsia="微软雅黑" w:cs="Arial"/>
          <w:color w:val="666666"/>
          <w:sz w:val="21"/>
          <w:szCs w:val="21"/>
        </w:rPr>
        <w:t> </w:t>
      </w:r>
      <w:r>
        <w:rPr>
          <w:rFonts w:hint="eastAsia" w:cs="Arial"/>
          <w:color w:val="000000"/>
          <w:sz w:val="21"/>
          <w:szCs w:val="21"/>
        </w:rPr>
        <w:t>特此公告</w:t>
      </w:r>
    </w:p>
    <w:p w14:paraId="6CC573A4">
      <w:pPr>
        <w:pStyle w:val="2"/>
        <w:snapToGrid w:val="0"/>
        <w:spacing w:before="0" w:beforeAutospacing="0" w:after="0" w:afterAutospacing="0" w:line="460" w:lineRule="atLeast"/>
        <w:ind w:firstLine="420"/>
        <w:jc w:val="right"/>
        <w:rPr>
          <w:rFonts w:cs="Arial" w:asciiTheme="minorEastAsia" w:hAnsiTheme="minorEastAsia" w:eastAsiaTheme="minorEastAsia"/>
          <w:color w:val="666666"/>
          <w:sz w:val="21"/>
          <w:szCs w:val="21"/>
        </w:rPr>
      </w:pP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建信理财有限责任公司</w:t>
      </w:r>
    </w:p>
    <w:p w14:paraId="44EF84A7">
      <w:pPr>
        <w:pStyle w:val="2"/>
        <w:snapToGrid w:val="0"/>
        <w:spacing w:before="0" w:beforeAutospacing="0" w:after="0" w:afterAutospacing="0" w:line="460" w:lineRule="atLeast"/>
        <w:ind w:firstLine="420"/>
        <w:jc w:val="right"/>
      </w:pP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202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  <w:lang w:val="en-US" w:eastAsia="zh-CN"/>
        </w:rPr>
        <w:t>6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年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  <w:lang w:val="en-US" w:eastAsia="zh-CN"/>
        </w:rPr>
        <w:t>7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月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  <w:lang w:val="en-US" w:eastAsia="zh-CN"/>
        </w:rPr>
        <w:t>27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CB2E50"/>
    <w:rsid w:val="01A61B07"/>
    <w:rsid w:val="08197FE1"/>
    <w:rsid w:val="22F8694F"/>
    <w:rsid w:val="2A8C7D5D"/>
    <w:rsid w:val="2C0E7F56"/>
    <w:rsid w:val="327D393D"/>
    <w:rsid w:val="394D2B5B"/>
    <w:rsid w:val="3ABF48DF"/>
    <w:rsid w:val="3E8C3E12"/>
    <w:rsid w:val="4C4F20AE"/>
    <w:rsid w:val="54CB2E50"/>
    <w:rsid w:val="5C935F1B"/>
    <w:rsid w:val="601E663F"/>
    <w:rsid w:val="61FB0726"/>
    <w:rsid w:val="6CB002D0"/>
    <w:rsid w:val="71D47EC1"/>
    <w:rsid w:val="722C3334"/>
    <w:rsid w:val="747B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2024-11-11T01:06:00Z</dcterms:created>
  <dc:creator>jxlc</dc:creator>
  <cp:lastModifiedBy>jxlc</cp:lastModifiedBy>
  <dcterms:modified xsi:type="dcterms:W3CDTF">2026-07-24T06:11:58Z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C19F4E69C45D4CF48AF4BF937990218C_13</vt:lpwstr>
  </property>
</Properties>
</file>