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4AAA0">
      <w:pPr>
        <w:jc w:val="center"/>
        <w:rPr>
          <w:rFonts w:hint="eastAsia" w:ascii="彩虹小标宋" w:eastAsia="彩虹小标宋"/>
          <w:sz w:val="44"/>
          <w:szCs w:val="44"/>
          <w:lang w:val="en-US" w:eastAsia="zh-CN"/>
        </w:rPr>
      </w:pPr>
      <w:r>
        <w:rPr>
          <w:rFonts w:hint="eastAsia" w:ascii="彩虹小标宋" w:eastAsia="彩虹小标宋"/>
          <w:sz w:val="44"/>
          <w:szCs w:val="44"/>
        </w:rPr>
        <w:t>关于</w:t>
      </w:r>
      <w:r>
        <w:rPr>
          <w:rFonts w:hint="eastAsia" w:ascii="彩虹小标宋" w:eastAsia="彩虹小标宋"/>
          <w:sz w:val="44"/>
          <w:szCs w:val="44"/>
          <w:lang w:val="en-US" w:eastAsia="zh-CN"/>
        </w:rPr>
        <w:t>调整建信理财部分开放式产品额度</w:t>
      </w:r>
      <w:r>
        <w:rPr>
          <w:rFonts w:hint="eastAsia" w:ascii="彩虹小标宋" w:eastAsia="彩虹小标宋"/>
          <w:sz w:val="44"/>
          <w:szCs w:val="44"/>
        </w:rPr>
        <w:t>的公告</w:t>
      </w:r>
    </w:p>
    <w:p w14:paraId="6AD16C0B">
      <w:pPr>
        <w:spacing w:line="560" w:lineRule="exact"/>
        <w:rPr>
          <w:rFonts w:ascii="彩虹粗仿宋" w:eastAsia="彩虹粗仿宋"/>
          <w:sz w:val="32"/>
          <w:szCs w:val="32"/>
        </w:rPr>
      </w:pPr>
    </w:p>
    <w:p w14:paraId="15F35134">
      <w:pPr>
        <w:spacing w:line="560" w:lineRule="exact"/>
        <w:rPr>
          <w:rFonts w:ascii="彩虹粗仿宋" w:eastAsia="彩虹粗仿宋"/>
          <w:sz w:val="32"/>
          <w:szCs w:val="32"/>
        </w:rPr>
      </w:pPr>
      <w:r>
        <w:rPr>
          <w:rFonts w:hint="eastAsia" w:ascii="彩虹粗仿宋" w:eastAsia="彩虹粗仿宋"/>
          <w:sz w:val="32"/>
          <w:szCs w:val="32"/>
        </w:rPr>
        <w:t>尊敬的投资者：</w:t>
      </w:r>
    </w:p>
    <w:p w14:paraId="5B6B5504">
      <w:pPr>
        <w:spacing w:line="560" w:lineRule="exact"/>
        <w:ind w:firstLine="640" w:firstLineChars="200"/>
        <w:rPr>
          <w:rFonts w:hint="eastAsia" w:ascii="彩虹粗仿宋" w:eastAsia="彩虹粗仿宋"/>
          <w:sz w:val="32"/>
          <w:szCs w:val="32"/>
        </w:rPr>
      </w:pPr>
      <w:r>
        <w:rPr>
          <w:rFonts w:hint="eastAsia" w:ascii="彩虹粗仿宋" w:eastAsia="彩虹粗仿宋"/>
          <w:sz w:val="32"/>
          <w:szCs w:val="32"/>
        </w:rPr>
        <w:t>根据产品投资运作需要，建信理财拟</w:t>
      </w:r>
      <w:r>
        <w:rPr>
          <w:rFonts w:hint="eastAsia" w:ascii="彩虹粗仿宋" w:eastAsia="彩虹粗仿宋"/>
          <w:sz w:val="32"/>
          <w:szCs w:val="32"/>
          <w:lang w:val="en-US" w:eastAsia="zh-CN"/>
        </w:rPr>
        <w:t>于2026年8月3日（含）起调整部分产品额度，</w:t>
      </w:r>
      <w:r>
        <w:rPr>
          <w:rFonts w:hint="eastAsia" w:ascii="彩虹粗仿宋" w:eastAsia="彩虹粗仿宋"/>
          <w:sz w:val="32"/>
          <w:szCs w:val="32"/>
        </w:rPr>
        <w:t>具体如下：</w:t>
      </w:r>
      <w:bookmarkStart w:id="0" w:name="_GoBack"/>
      <w:bookmarkEnd w:id="0"/>
    </w:p>
    <w:tbl>
      <w:tblPr>
        <w:tblStyle w:val="9"/>
        <w:tblW w:w="91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06"/>
        <w:gridCol w:w="2084"/>
        <w:gridCol w:w="2455"/>
        <w:gridCol w:w="2061"/>
      </w:tblGrid>
      <w:tr w14:paraId="63AF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dxa"/>
            <w:vAlign w:val="center"/>
          </w:tcPr>
          <w:p w14:paraId="6E96DD3F">
            <w:pPr>
              <w:jc w:val="center"/>
              <w:rPr>
                <w:rFonts w:ascii="宋体" w:hAnsi="宋体" w:eastAsia="宋体"/>
                <w:b/>
                <w:szCs w:val="21"/>
              </w:rPr>
            </w:pPr>
            <w:r>
              <w:rPr>
                <w:rFonts w:hint="eastAsia" w:ascii="宋体" w:hAnsi="宋体" w:eastAsia="宋体"/>
                <w:b/>
                <w:szCs w:val="21"/>
              </w:rPr>
              <w:t>产品名称</w:t>
            </w:r>
          </w:p>
        </w:tc>
        <w:tc>
          <w:tcPr>
            <w:tcW w:w="2084" w:type="dxa"/>
            <w:vAlign w:val="center"/>
          </w:tcPr>
          <w:p w14:paraId="55908522">
            <w:pPr>
              <w:jc w:val="center"/>
              <w:rPr>
                <w:rFonts w:ascii="宋体" w:hAnsi="宋体" w:eastAsia="宋体"/>
                <w:b/>
                <w:szCs w:val="21"/>
              </w:rPr>
            </w:pPr>
            <w:r>
              <w:rPr>
                <w:rFonts w:hint="eastAsia" w:ascii="宋体" w:hAnsi="宋体" w:eastAsia="宋体"/>
                <w:b/>
                <w:szCs w:val="21"/>
              </w:rPr>
              <w:t>全国银行业理财信息登记系统编码</w:t>
            </w:r>
          </w:p>
        </w:tc>
        <w:tc>
          <w:tcPr>
            <w:tcW w:w="2455" w:type="dxa"/>
            <w:vAlign w:val="center"/>
          </w:tcPr>
          <w:p w14:paraId="5D2AEC09">
            <w:pPr>
              <w:jc w:val="center"/>
              <w:rPr>
                <w:rFonts w:hint="default" w:ascii="宋体" w:hAnsi="宋体" w:eastAsia="宋体"/>
                <w:b/>
                <w:szCs w:val="21"/>
                <w:lang w:val="en-US" w:eastAsia="zh-CN"/>
              </w:rPr>
            </w:pPr>
            <w:r>
              <w:rPr>
                <w:rFonts w:hint="eastAsia" w:ascii="宋体" w:hAnsi="宋体" w:eastAsia="宋体"/>
                <w:b/>
                <w:szCs w:val="21"/>
                <w:lang w:val="en-US" w:eastAsia="zh-CN"/>
              </w:rPr>
              <w:t>调整前</w:t>
            </w:r>
          </w:p>
        </w:tc>
        <w:tc>
          <w:tcPr>
            <w:tcW w:w="2061" w:type="dxa"/>
            <w:vAlign w:val="center"/>
          </w:tcPr>
          <w:p w14:paraId="5490B32C">
            <w:pPr>
              <w:jc w:val="center"/>
              <w:rPr>
                <w:rFonts w:hint="eastAsia" w:ascii="宋体" w:hAnsi="宋体" w:eastAsia="宋体"/>
                <w:b/>
                <w:szCs w:val="21"/>
                <w:lang w:eastAsia="zh-CN"/>
              </w:rPr>
            </w:pPr>
            <w:r>
              <w:rPr>
                <w:rFonts w:hint="eastAsia" w:ascii="宋体" w:hAnsi="宋体" w:eastAsia="宋体"/>
                <w:b/>
                <w:szCs w:val="21"/>
                <w:lang w:val="en-US" w:eastAsia="zh-CN"/>
              </w:rPr>
              <w:t>调整后</w:t>
            </w:r>
          </w:p>
        </w:tc>
      </w:tr>
      <w:tr w14:paraId="2653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dxa"/>
            <w:vAlign w:val="center"/>
          </w:tcPr>
          <w:p w14:paraId="3E15CAB3">
            <w:pPr>
              <w:jc w:val="center"/>
              <w:rPr>
                <w:rFonts w:hint="eastAsia" w:ascii="宋体" w:hAnsi="宋体" w:eastAsia="宋体" w:cs="宋体"/>
                <w:sz w:val="21"/>
                <w:szCs w:val="21"/>
              </w:rPr>
            </w:pPr>
            <w:r>
              <w:rPr>
                <w:rFonts w:hint="eastAsia" w:ascii="宋体" w:hAnsi="宋体" w:eastAsia="宋体" w:cs="宋体"/>
                <w:sz w:val="21"/>
                <w:szCs w:val="21"/>
                <w:lang w:eastAsia="zh-CN"/>
              </w:rPr>
              <w:t>建信理财嘉鑫（稳利）固收类最低持有30天产品第21期</w:t>
            </w:r>
          </w:p>
        </w:tc>
        <w:tc>
          <w:tcPr>
            <w:tcW w:w="2084" w:type="dxa"/>
            <w:vAlign w:val="center"/>
          </w:tcPr>
          <w:p w14:paraId="694124D3">
            <w:pPr>
              <w:jc w:val="center"/>
              <w:rPr>
                <w:rFonts w:hint="eastAsia" w:ascii="宋体" w:hAnsi="宋体" w:eastAsia="宋体" w:cs="宋体"/>
                <w:sz w:val="21"/>
                <w:szCs w:val="21"/>
              </w:rPr>
            </w:pPr>
            <w:r>
              <w:rPr>
                <w:rFonts w:hint="eastAsia" w:ascii="宋体" w:hAnsi="宋体" w:eastAsia="宋体" w:cs="宋体"/>
                <w:sz w:val="21"/>
                <w:szCs w:val="21"/>
              </w:rPr>
              <w:t>Z7000725001421</w:t>
            </w:r>
          </w:p>
        </w:tc>
        <w:tc>
          <w:tcPr>
            <w:tcW w:w="2455" w:type="dxa"/>
            <w:vAlign w:val="center"/>
          </w:tcPr>
          <w:p w14:paraId="1374B08F">
            <w:pPr>
              <w:jc w:val="center"/>
              <w:rPr>
                <w:rFonts w:hint="eastAsia" w:ascii="宋体" w:hAnsi="宋体" w:eastAsia="宋体"/>
                <w:b/>
                <w:szCs w:val="21"/>
              </w:rPr>
            </w:pPr>
            <w:r>
              <w:rPr>
                <w:rFonts w:hint="eastAsia" w:ascii="宋体" w:hAnsi="宋体" w:eastAsia="宋体" w:cs="宋体"/>
                <w:sz w:val="21"/>
                <w:szCs w:val="21"/>
                <w:lang w:val="en-US" w:eastAsia="zh-CN"/>
              </w:rPr>
              <w:t>A份额：</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p>
          <w:p w14:paraId="57993FA8">
            <w:pPr>
              <w:jc w:val="center"/>
              <w:rPr>
                <w:rFonts w:hint="eastAsia" w:ascii="宋体" w:hAnsi="宋体" w:eastAsia="宋体" w:cs="宋体"/>
                <w:sz w:val="21"/>
                <w:szCs w:val="21"/>
                <w:lang w:eastAsia="zh-CN"/>
              </w:rPr>
            </w:pPr>
            <w:r>
              <w:rPr>
                <w:rFonts w:hint="eastAsia" w:ascii="宋体" w:hAnsi="宋体" w:eastAsia="宋体" w:cs="宋体"/>
                <w:sz w:val="21"/>
                <w:szCs w:val="21"/>
              </w:rPr>
              <w:t>不超过</w:t>
            </w:r>
            <w:r>
              <w:rPr>
                <w:rFonts w:hint="eastAsia" w:ascii="宋体" w:hAnsi="宋体" w:eastAsia="宋体" w:cs="宋体"/>
                <w:sz w:val="21"/>
                <w:szCs w:val="21"/>
                <w:lang w:val="en-US" w:eastAsia="zh-CN"/>
              </w:rPr>
              <w:t>4</w:t>
            </w:r>
            <w:r>
              <w:rPr>
                <w:rFonts w:hint="eastAsia" w:ascii="宋体" w:hAnsi="宋体" w:eastAsia="宋体" w:cs="宋体"/>
                <w:sz w:val="21"/>
                <w:szCs w:val="21"/>
              </w:rPr>
              <w:t>00万份</w:t>
            </w:r>
            <w:r>
              <w:rPr>
                <w:rFonts w:hint="eastAsia" w:ascii="宋体" w:hAnsi="宋体" w:eastAsia="宋体" w:cs="宋体"/>
                <w:sz w:val="21"/>
                <w:szCs w:val="21"/>
                <w:lang w:eastAsia="zh-CN"/>
              </w:rPr>
              <w:t>；</w:t>
            </w:r>
          </w:p>
          <w:p w14:paraId="18D3E876">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B份额：</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r>
              <w:rPr>
                <w:rFonts w:hint="eastAsia" w:ascii="宋体" w:hAnsi="宋体" w:eastAsia="宋体" w:cs="宋体"/>
                <w:sz w:val="21"/>
                <w:szCs w:val="21"/>
              </w:rPr>
              <w:t>不超过</w:t>
            </w:r>
            <w:r>
              <w:rPr>
                <w:rFonts w:hint="eastAsia" w:ascii="宋体" w:hAnsi="宋体" w:eastAsia="宋体" w:cs="宋体"/>
                <w:sz w:val="21"/>
                <w:szCs w:val="21"/>
                <w:lang w:val="en-US" w:eastAsia="zh-CN"/>
              </w:rPr>
              <w:t>1</w:t>
            </w:r>
            <w:r>
              <w:rPr>
                <w:rFonts w:hint="eastAsia" w:ascii="宋体" w:hAnsi="宋体" w:eastAsia="宋体" w:cs="宋体"/>
                <w:sz w:val="21"/>
                <w:szCs w:val="21"/>
              </w:rPr>
              <w:t>00万份</w:t>
            </w:r>
          </w:p>
        </w:tc>
        <w:tc>
          <w:tcPr>
            <w:tcW w:w="2061" w:type="dxa"/>
            <w:vAlign w:val="center"/>
          </w:tcPr>
          <w:p w14:paraId="73744CFE">
            <w:pPr>
              <w:jc w:val="center"/>
              <w:rPr>
                <w:rFonts w:hint="eastAsia" w:ascii="宋体" w:hAnsi="宋体" w:eastAsia="宋体" w:cs="宋体"/>
                <w:sz w:val="21"/>
                <w:szCs w:val="21"/>
                <w:lang w:val="en-US" w:eastAsia="zh-CN"/>
              </w:rPr>
            </w:pPr>
            <w:r>
              <w:rPr>
                <w:rFonts w:hint="eastAsia" w:ascii="宋体" w:hAnsi="宋体" w:eastAsia="宋体" w:cs="宋体"/>
                <w:b w:val="0"/>
                <w:bCs w:val="0"/>
                <w:sz w:val="21"/>
                <w:szCs w:val="21"/>
                <w:lang w:val="en-US" w:eastAsia="zh-CN"/>
              </w:rPr>
              <w:t>不限制</w:t>
            </w:r>
            <w:r>
              <w:rPr>
                <w:rFonts w:hint="eastAsia" w:ascii="宋体" w:hAnsi="宋体" w:eastAsia="宋体"/>
                <w:b w:val="0"/>
                <w:bCs w:val="0"/>
                <w:szCs w:val="21"/>
                <w:lang w:val="en-US" w:eastAsia="zh-CN"/>
              </w:rPr>
              <w:t>单</w:t>
            </w:r>
            <w:r>
              <w:rPr>
                <w:rFonts w:hint="eastAsia" w:ascii="宋体" w:hAnsi="宋体" w:eastAsia="宋体"/>
                <w:b w:val="0"/>
                <w:bCs w:val="0"/>
                <w:szCs w:val="21"/>
              </w:rPr>
              <w:t>日申购</w:t>
            </w:r>
            <w:r>
              <w:rPr>
                <w:rFonts w:hint="eastAsia" w:ascii="宋体" w:hAnsi="宋体" w:eastAsia="宋体"/>
                <w:b w:val="0"/>
                <w:bCs w:val="0"/>
                <w:szCs w:val="21"/>
                <w:lang w:val="en-US" w:eastAsia="zh-CN"/>
              </w:rPr>
              <w:t>总</w:t>
            </w:r>
            <w:r>
              <w:rPr>
                <w:rFonts w:hint="eastAsia" w:ascii="宋体" w:hAnsi="宋体" w:eastAsia="宋体"/>
                <w:b w:val="0"/>
                <w:bCs w:val="0"/>
                <w:szCs w:val="21"/>
              </w:rPr>
              <w:t>份额</w:t>
            </w:r>
          </w:p>
        </w:tc>
      </w:tr>
      <w:tr w14:paraId="6B3A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dxa"/>
            <w:vAlign w:val="center"/>
          </w:tcPr>
          <w:p w14:paraId="6A91E71C">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建信理财嘉鑫（稳利）固收类按日开放式产品第65期</w:t>
            </w:r>
          </w:p>
        </w:tc>
        <w:tc>
          <w:tcPr>
            <w:tcW w:w="2084" w:type="dxa"/>
            <w:vAlign w:val="center"/>
          </w:tcPr>
          <w:p w14:paraId="29ED8A8B">
            <w:pPr>
              <w:jc w:val="center"/>
              <w:rPr>
                <w:rFonts w:hint="eastAsia" w:ascii="宋体" w:hAnsi="宋体" w:eastAsia="宋体" w:cs="宋体"/>
                <w:sz w:val="21"/>
                <w:szCs w:val="21"/>
              </w:rPr>
            </w:pPr>
            <w:r>
              <w:rPr>
                <w:rFonts w:hint="eastAsia" w:ascii="宋体" w:hAnsi="宋体" w:eastAsia="宋体" w:cs="宋体"/>
                <w:sz w:val="21"/>
                <w:szCs w:val="21"/>
              </w:rPr>
              <w:t>Z7000725001490</w:t>
            </w:r>
          </w:p>
        </w:tc>
        <w:tc>
          <w:tcPr>
            <w:tcW w:w="2455" w:type="dxa"/>
            <w:vAlign w:val="center"/>
          </w:tcPr>
          <w:p w14:paraId="4F06282B">
            <w:pPr>
              <w:jc w:val="center"/>
              <w:rPr>
                <w:rFonts w:ascii="宋体" w:hAnsi="宋体" w:eastAsia="宋体"/>
                <w:sz w:val="18"/>
                <w:szCs w:val="18"/>
              </w:rPr>
            </w:pPr>
            <w:r>
              <w:rPr>
                <w:rFonts w:hint="eastAsia" w:ascii="宋体" w:hAnsi="宋体" w:eastAsia="宋体"/>
                <w:sz w:val="18"/>
                <w:szCs w:val="18"/>
              </w:rPr>
              <w:t>A份额：</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r>
              <w:rPr>
                <w:rFonts w:hint="eastAsia" w:ascii="宋体" w:hAnsi="宋体" w:eastAsia="宋体"/>
                <w:sz w:val="18"/>
                <w:szCs w:val="18"/>
                <w:lang w:val="en-US" w:eastAsia="zh-CN"/>
              </w:rPr>
              <w:t>不超过0</w:t>
            </w:r>
            <w:r>
              <w:rPr>
                <w:rFonts w:hint="eastAsia" w:ascii="宋体" w:hAnsi="宋体" w:eastAsia="宋体"/>
                <w:sz w:val="18"/>
                <w:szCs w:val="18"/>
              </w:rPr>
              <w:t>份</w:t>
            </w:r>
          </w:p>
          <w:p w14:paraId="4EF6B235">
            <w:pPr>
              <w:jc w:val="center"/>
              <w:rPr>
                <w:rFonts w:hint="eastAsia" w:ascii="宋体" w:hAnsi="宋体" w:eastAsia="宋体"/>
                <w:sz w:val="18"/>
                <w:szCs w:val="18"/>
                <w:lang w:val="en-US" w:eastAsia="zh-CN"/>
              </w:rPr>
            </w:pPr>
            <w:r>
              <w:rPr>
                <w:rFonts w:hint="eastAsia" w:ascii="宋体" w:hAnsi="宋体" w:eastAsia="宋体"/>
                <w:sz w:val="18"/>
                <w:szCs w:val="18"/>
              </w:rPr>
              <w:t>B份额：</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r>
              <w:rPr>
                <w:rFonts w:hint="eastAsia" w:ascii="宋体" w:hAnsi="宋体" w:eastAsia="宋体"/>
                <w:sz w:val="18"/>
                <w:szCs w:val="18"/>
                <w:lang w:val="en-US" w:eastAsia="zh-CN"/>
              </w:rPr>
              <w:t>不超过0</w:t>
            </w:r>
            <w:r>
              <w:rPr>
                <w:rFonts w:hint="eastAsia" w:ascii="宋体" w:hAnsi="宋体" w:eastAsia="宋体"/>
                <w:sz w:val="18"/>
                <w:szCs w:val="18"/>
              </w:rPr>
              <w:t>份</w:t>
            </w:r>
          </w:p>
        </w:tc>
        <w:tc>
          <w:tcPr>
            <w:tcW w:w="2061" w:type="dxa"/>
            <w:vAlign w:val="center"/>
          </w:tcPr>
          <w:p w14:paraId="05E014A8">
            <w:pPr>
              <w:jc w:val="center"/>
              <w:rPr>
                <w:rFonts w:hint="eastAsia" w:ascii="宋体" w:hAnsi="宋体" w:eastAsia="宋体" w:cs="宋体"/>
                <w:sz w:val="21"/>
                <w:szCs w:val="21"/>
                <w:lang w:val="en-US" w:eastAsia="zh-CN"/>
              </w:rPr>
            </w:pPr>
          </w:p>
          <w:p w14:paraId="7D0FFAB3">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A份额：发行额度不超过80亿份，不限制</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p>
          <w:p w14:paraId="2FD1610F">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B份额：发行额度不超过20亿份，不限制</w:t>
            </w:r>
            <w:r>
              <w:rPr>
                <w:rFonts w:hint="eastAsia" w:ascii="宋体" w:hAnsi="宋体" w:eastAsia="宋体"/>
                <w:b w:val="0"/>
                <w:bCs/>
                <w:szCs w:val="21"/>
                <w:lang w:val="en-US" w:eastAsia="zh-CN"/>
              </w:rPr>
              <w:t>单</w:t>
            </w:r>
            <w:r>
              <w:rPr>
                <w:rFonts w:hint="eastAsia" w:ascii="宋体" w:hAnsi="宋体" w:eastAsia="宋体"/>
                <w:b w:val="0"/>
                <w:bCs/>
                <w:szCs w:val="21"/>
              </w:rPr>
              <w:t>日申购</w:t>
            </w:r>
            <w:r>
              <w:rPr>
                <w:rFonts w:hint="eastAsia" w:ascii="宋体" w:hAnsi="宋体" w:eastAsia="宋体"/>
                <w:b w:val="0"/>
                <w:bCs/>
                <w:szCs w:val="21"/>
                <w:lang w:val="en-US" w:eastAsia="zh-CN"/>
              </w:rPr>
              <w:t>总</w:t>
            </w:r>
            <w:r>
              <w:rPr>
                <w:rFonts w:hint="eastAsia" w:ascii="宋体" w:hAnsi="宋体" w:eastAsia="宋体"/>
                <w:b w:val="0"/>
                <w:bCs/>
                <w:szCs w:val="21"/>
              </w:rPr>
              <w:t>份额</w:t>
            </w:r>
          </w:p>
        </w:tc>
      </w:tr>
      <w:tr w14:paraId="415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06" w:type="dxa"/>
            <w:vAlign w:val="center"/>
          </w:tcPr>
          <w:p w14:paraId="2608863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建信理财嘉鑫（稳利）固收类按日开放式产品第63期</w:t>
            </w:r>
          </w:p>
        </w:tc>
        <w:tc>
          <w:tcPr>
            <w:tcW w:w="2084" w:type="dxa"/>
            <w:vAlign w:val="center"/>
          </w:tcPr>
          <w:p w14:paraId="710F27F9">
            <w:pPr>
              <w:jc w:val="center"/>
              <w:rPr>
                <w:rFonts w:hint="eastAsia" w:ascii="宋体" w:hAnsi="宋体" w:eastAsia="宋体" w:cs="宋体"/>
                <w:sz w:val="21"/>
                <w:szCs w:val="21"/>
              </w:rPr>
            </w:pPr>
            <w:r>
              <w:rPr>
                <w:rFonts w:hint="eastAsia" w:ascii="宋体" w:hAnsi="宋体" w:eastAsia="宋体" w:cs="宋体"/>
                <w:sz w:val="21"/>
                <w:szCs w:val="21"/>
              </w:rPr>
              <w:t>Z7000725001380</w:t>
            </w:r>
          </w:p>
        </w:tc>
        <w:tc>
          <w:tcPr>
            <w:tcW w:w="2455" w:type="dxa"/>
            <w:vAlign w:val="center"/>
          </w:tcPr>
          <w:p w14:paraId="4A7A1314">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发行额度不超2000万份</w:t>
            </w:r>
          </w:p>
        </w:tc>
        <w:tc>
          <w:tcPr>
            <w:tcW w:w="2061" w:type="dxa"/>
            <w:vAlign w:val="center"/>
          </w:tcPr>
          <w:p w14:paraId="639B72D5">
            <w:pPr>
              <w:jc w:val="center"/>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发行额度不超100亿份</w:t>
            </w:r>
          </w:p>
        </w:tc>
      </w:tr>
    </w:tbl>
    <w:p w14:paraId="53A711BD">
      <w:pPr>
        <w:pStyle w:val="6"/>
        <w:spacing w:before="0" w:beforeAutospacing="0" w:after="0" w:afterAutospacing="0" w:line="360" w:lineRule="auto"/>
        <w:ind w:firstLine="42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1E2ADF15">
      <w:pPr>
        <w:ind w:firstLine="646" w:firstLineChars="202"/>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建信理财有限责任公司将本着勤勉尽职的原则持续为您提供专业化理财服务。</w:t>
      </w:r>
    </w:p>
    <w:p w14:paraId="6DBCE29F">
      <w:pPr>
        <w:ind w:firstLine="646" w:firstLineChars="202"/>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0FCA7EC7">
      <w:pPr>
        <w:spacing w:line="560" w:lineRule="exact"/>
        <w:ind w:firstLine="640" w:firstLineChars="200"/>
        <w:rPr>
          <w:rFonts w:ascii="彩虹粗仿宋" w:eastAsia="彩虹粗仿宋"/>
          <w:sz w:val="32"/>
          <w:szCs w:val="32"/>
        </w:rPr>
      </w:pPr>
    </w:p>
    <w:p w14:paraId="2A889A38">
      <w:pPr>
        <w:spacing w:line="560" w:lineRule="exact"/>
        <w:ind w:firstLine="640" w:firstLineChars="200"/>
        <w:rPr>
          <w:rFonts w:ascii="彩虹粗仿宋" w:eastAsia="彩虹粗仿宋"/>
          <w:sz w:val="32"/>
          <w:szCs w:val="32"/>
        </w:rPr>
      </w:pPr>
    </w:p>
    <w:p w14:paraId="17068A10">
      <w:pPr>
        <w:spacing w:line="560" w:lineRule="exact"/>
        <w:ind w:firstLine="640" w:firstLineChars="200"/>
        <w:rPr>
          <w:rFonts w:ascii="彩虹粗仿宋" w:eastAsia="彩虹粗仿宋"/>
          <w:sz w:val="32"/>
          <w:szCs w:val="32"/>
        </w:rPr>
      </w:pPr>
      <w:r>
        <w:rPr>
          <w:rFonts w:hint="eastAsia" w:ascii="彩虹粗仿宋" w:eastAsia="彩虹粗仿宋"/>
          <w:sz w:val="32"/>
          <w:szCs w:val="32"/>
        </w:rPr>
        <w:t xml:space="preserve">  </w:t>
      </w:r>
      <w:r>
        <w:rPr>
          <w:rFonts w:ascii="彩虹粗仿宋" w:eastAsia="彩虹粗仿宋"/>
          <w:sz w:val="32"/>
          <w:szCs w:val="32"/>
        </w:rPr>
        <w:t xml:space="preserve">                        </w:t>
      </w:r>
      <w:r>
        <w:rPr>
          <w:rFonts w:hint="eastAsia" w:ascii="彩虹粗仿宋" w:eastAsia="彩虹粗仿宋"/>
          <w:sz w:val="32"/>
          <w:szCs w:val="32"/>
        </w:rPr>
        <w:t xml:space="preserve"> 建信理财有限责任公司</w:t>
      </w:r>
    </w:p>
    <w:p w14:paraId="11FD22B2">
      <w:pPr>
        <w:spacing w:line="560" w:lineRule="exact"/>
        <w:ind w:firstLine="5440" w:firstLineChars="1700"/>
        <w:rPr>
          <w:rFonts w:ascii="彩虹粗仿宋" w:eastAsia="彩虹粗仿宋"/>
          <w:sz w:val="32"/>
          <w:szCs w:val="32"/>
        </w:rPr>
      </w:pPr>
      <w:r>
        <w:rPr>
          <w:rFonts w:hint="eastAsia" w:ascii="彩虹粗仿宋" w:eastAsia="彩虹粗仿宋"/>
          <w:sz w:val="32"/>
          <w:szCs w:val="32"/>
        </w:rPr>
        <w:t>202</w:t>
      </w:r>
      <w:r>
        <w:rPr>
          <w:rFonts w:hint="eastAsia" w:ascii="彩虹粗仿宋" w:eastAsia="彩虹粗仿宋"/>
          <w:sz w:val="32"/>
          <w:szCs w:val="32"/>
          <w:lang w:val="en-US" w:eastAsia="zh-CN"/>
        </w:rPr>
        <w:t>6</w:t>
      </w:r>
      <w:r>
        <w:rPr>
          <w:rFonts w:hint="eastAsia" w:ascii="彩虹粗仿宋" w:eastAsia="彩虹粗仿宋"/>
          <w:sz w:val="32"/>
          <w:szCs w:val="32"/>
        </w:rPr>
        <w:t>年</w:t>
      </w:r>
      <w:r>
        <w:rPr>
          <w:rFonts w:hint="eastAsia" w:ascii="彩虹粗仿宋" w:eastAsia="彩虹粗仿宋"/>
          <w:sz w:val="32"/>
          <w:szCs w:val="32"/>
          <w:lang w:val="en-US" w:eastAsia="zh-CN"/>
        </w:rPr>
        <w:t>7</w:t>
      </w:r>
      <w:r>
        <w:rPr>
          <w:rFonts w:hint="eastAsia" w:ascii="彩虹粗仿宋" w:eastAsia="彩虹粗仿宋"/>
          <w:sz w:val="32"/>
          <w:szCs w:val="32"/>
        </w:rPr>
        <w:t>月</w:t>
      </w:r>
      <w:r>
        <w:rPr>
          <w:rFonts w:hint="eastAsia" w:ascii="彩虹粗仿宋" w:eastAsia="彩虹粗仿宋"/>
          <w:sz w:val="32"/>
          <w:szCs w:val="32"/>
          <w:lang w:val="en-US" w:eastAsia="zh-CN"/>
        </w:rPr>
        <w:t>31</w:t>
      </w:r>
      <w:r>
        <w:rPr>
          <w:rFonts w:hint="eastAsia" w:ascii="彩虹粗仿宋" w:eastAsia="彩虹粗仿宋"/>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roman"/>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A6"/>
    <w:rsid w:val="000241C8"/>
    <w:rsid w:val="0005242D"/>
    <w:rsid w:val="00066939"/>
    <w:rsid w:val="001428A6"/>
    <w:rsid w:val="00185B11"/>
    <w:rsid w:val="0019582C"/>
    <w:rsid w:val="001C381B"/>
    <w:rsid w:val="001E48B8"/>
    <w:rsid w:val="00205C8A"/>
    <w:rsid w:val="00206F79"/>
    <w:rsid w:val="00214562"/>
    <w:rsid w:val="002532EE"/>
    <w:rsid w:val="00272D68"/>
    <w:rsid w:val="002D3336"/>
    <w:rsid w:val="002E3ECE"/>
    <w:rsid w:val="002F2DAA"/>
    <w:rsid w:val="00326FE7"/>
    <w:rsid w:val="003357F0"/>
    <w:rsid w:val="003C5294"/>
    <w:rsid w:val="003D7CFA"/>
    <w:rsid w:val="004B40CC"/>
    <w:rsid w:val="004C0C5D"/>
    <w:rsid w:val="004F0EE2"/>
    <w:rsid w:val="00505B5C"/>
    <w:rsid w:val="00586B28"/>
    <w:rsid w:val="005A0F9C"/>
    <w:rsid w:val="005F5AE8"/>
    <w:rsid w:val="0064427A"/>
    <w:rsid w:val="006548A0"/>
    <w:rsid w:val="00654A55"/>
    <w:rsid w:val="0066655D"/>
    <w:rsid w:val="006674CF"/>
    <w:rsid w:val="0067161F"/>
    <w:rsid w:val="0068278D"/>
    <w:rsid w:val="006912E0"/>
    <w:rsid w:val="006A63AD"/>
    <w:rsid w:val="006F518C"/>
    <w:rsid w:val="007404F3"/>
    <w:rsid w:val="00760000"/>
    <w:rsid w:val="0076079D"/>
    <w:rsid w:val="00792813"/>
    <w:rsid w:val="007C0139"/>
    <w:rsid w:val="007C1916"/>
    <w:rsid w:val="007C33BC"/>
    <w:rsid w:val="007C3955"/>
    <w:rsid w:val="007F3A39"/>
    <w:rsid w:val="00811669"/>
    <w:rsid w:val="008852F8"/>
    <w:rsid w:val="008B2407"/>
    <w:rsid w:val="008C5B63"/>
    <w:rsid w:val="008C5E52"/>
    <w:rsid w:val="008F7202"/>
    <w:rsid w:val="00905D50"/>
    <w:rsid w:val="009101AB"/>
    <w:rsid w:val="009206C0"/>
    <w:rsid w:val="009704A5"/>
    <w:rsid w:val="009712AB"/>
    <w:rsid w:val="009B037B"/>
    <w:rsid w:val="00A27E25"/>
    <w:rsid w:val="00A412B1"/>
    <w:rsid w:val="00A60679"/>
    <w:rsid w:val="00AA3B53"/>
    <w:rsid w:val="00B8546A"/>
    <w:rsid w:val="00B9464E"/>
    <w:rsid w:val="00BA47A7"/>
    <w:rsid w:val="00BD576B"/>
    <w:rsid w:val="00C034CF"/>
    <w:rsid w:val="00C21A9A"/>
    <w:rsid w:val="00C406D4"/>
    <w:rsid w:val="00C504AE"/>
    <w:rsid w:val="00CE5F95"/>
    <w:rsid w:val="00D15B3B"/>
    <w:rsid w:val="00D74827"/>
    <w:rsid w:val="00D806D9"/>
    <w:rsid w:val="00DB6005"/>
    <w:rsid w:val="00DD228E"/>
    <w:rsid w:val="00E10519"/>
    <w:rsid w:val="00E33E2A"/>
    <w:rsid w:val="00E64DEE"/>
    <w:rsid w:val="00E846D8"/>
    <w:rsid w:val="00EA6AD7"/>
    <w:rsid w:val="00EC5809"/>
    <w:rsid w:val="00F31745"/>
    <w:rsid w:val="00F336DE"/>
    <w:rsid w:val="00F4327F"/>
    <w:rsid w:val="00F73D21"/>
    <w:rsid w:val="00FB504D"/>
    <w:rsid w:val="022D6BD4"/>
    <w:rsid w:val="0987307F"/>
    <w:rsid w:val="098F08D1"/>
    <w:rsid w:val="0D2B4F84"/>
    <w:rsid w:val="11AA0B06"/>
    <w:rsid w:val="126D0AE3"/>
    <w:rsid w:val="12ED789B"/>
    <w:rsid w:val="1C9902E1"/>
    <w:rsid w:val="20893143"/>
    <w:rsid w:val="24072EE7"/>
    <w:rsid w:val="285E03C4"/>
    <w:rsid w:val="2C9B5264"/>
    <w:rsid w:val="2FA44788"/>
    <w:rsid w:val="34FD0C24"/>
    <w:rsid w:val="390B3E87"/>
    <w:rsid w:val="391110CE"/>
    <w:rsid w:val="3B480E17"/>
    <w:rsid w:val="44B32050"/>
    <w:rsid w:val="482B0E1F"/>
    <w:rsid w:val="4F595D1F"/>
    <w:rsid w:val="56007508"/>
    <w:rsid w:val="585F561A"/>
    <w:rsid w:val="5A5C063B"/>
    <w:rsid w:val="5F8E026C"/>
    <w:rsid w:val="66414EE1"/>
    <w:rsid w:val="67AA4915"/>
    <w:rsid w:val="71716B9F"/>
    <w:rsid w:val="73326FA2"/>
    <w:rsid w:val="78666EC3"/>
    <w:rsid w:val="7D2953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5"/>
    <w:qFormat/>
    <w:uiPriority w:val="99"/>
    <w:rPr>
      <w:sz w:val="18"/>
      <w:szCs w:val="18"/>
    </w:rPr>
  </w:style>
  <w:style w:type="character" w:customStyle="1" w:styleId="13">
    <w:name w:val="页脚 字符"/>
    <w:basedOn w:val="10"/>
    <w:link w:val="4"/>
    <w:qFormat/>
    <w:uiPriority w:val="99"/>
    <w:rPr>
      <w:sz w:val="18"/>
      <w:szCs w:val="18"/>
    </w:rPr>
  </w:style>
  <w:style w:type="character" w:customStyle="1" w:styleId="14">
    <w:name w:val="批注框文本 字符"/>
    <w:basedOn w:val="10"/>
    <w:link w:val="3"/>
    <w:semiHidden/>
    <w:qFormat/>
    <w:uiPriority w:val="99"/>
    <w:rPr>
      <w:sz w:val="18"/>
      <w:szCs w:val="18"/>
    </w:rPr>
  </w:style>
  <w:style w:type="character" w:customStyle="1" w:styleId="15">
    <w:name w:val="批注文字 字符"/>
    <w:basedOn w:val="10"/>
    <w:link w:val="2"/>
    <w:semiHidden/>
    <w:qFormat/>
    <w:uiPriority w:val="99"/>
  </w:style>
  <w:style w:type="character" w:customStyle="1" w:styleId="16">
    <w:name w:val="批注主题 字符"/>
    <w:basedOn w:val="15"/>
    <w:link w:val="7"/>
    <w:semiHidden/>
    <w:qFormat/>
    <w:uiPriority w:val="99"/>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64</Words>
  <Characters>365</Characters>
  <Lines>3</Lines>
  <Paragraphs>1</Paragraphs>
  <TotalTime>3</TotalTime>
  <ScaleCrop>false</ScaleCrop>
  <LinksUpToDate>false</LinksUpToDate>
  <CharactersWithSpaces>428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2023-04-27T10:01:00Z</dcterms:created>
  <dc:creator>产品管理部</dc:creator>
  <cp:lastModifiedBy>陈文君</cp:lastModifiedBy>
  <dcterms:modified xsi:type="dcterms:W3CDTF">2026-07-31T07:33:05Z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7693EE113950433E98451DE38ABD4154_13</vt:lpwstr>
  </property>
</Properties>
</file>