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2BE553">
      <w:pPr>
        <w:widowControl/>
        <w:snapToGrid w:val="0"/>
        <w:spacing w:line="560" w:lineRule="exact"/>
        <w:jc w:val="center"/>
        <w:rPr>
          <w:rFonts w:hint="eastAsia" w:ascii="彩虹小标宋" w:hAnsi="微软雅黑" w:eastAsia="彩虹小标宋" w:cs="Arial"/>
          <w:bCs/>
          <w:color w:val="000000" w:themeColor="text1"/>
          <w:kern w:val="0"/>
          <w:sz w:val="40"/>
          <w:szCs w:val="40"/>
          <w:lang w:eastAsia="zh-CN"/>
          <w14:textFill>
            <w14:solidFill>
              <w14:schemeClr w14:val="tx1"/>
            </w14:solidFill>
          </w14:textFill>
        </w:rPr>
      </w:pPr>
      <w:r>
        <w:rPr>
          <w:rFonts w:hint="eastAsia" w:ascii="彩虹小标宋" w:hAnsi="微软雅黑" w:eastAsia="彩虹小标宋" w:cs="Arial"/>
          <w:bCs/>
          <w:color w:val="000000" w:themeColor="text1"/>
          <w:kern w:val="0"/>
          <w:sz w:val="40"/>
          <w:szCs w:val="40"/>
          <w14:textFill>
            <w14:solidFill>
              <w14:schemeClr w14:val="tx1"/>
            </w14:solidFill>
          </w14:textFill>
        </w:rPr>
        <w:t>关于</w:t>
      </w:r>
      <w:r>
        <w:rPr>
          <w:rFonts w:hint="eastAsia" w:ascii="彩虹小标宋" w:hAnsi="微软雅黑" w:eastAsia="彩虹小标宋" w:cs="Arial"/>
          <w:bCs/>
          <w:color w:val="000000" w:themeColor="text1"/>
          <w:kern w:val="0"/>
          <w:sz w:val="40"/>
          <w:szCs w:val="40"/>
          <w:lang w:val="en-US" w:eastAsia="zh-CN"/>
          <w14:textFill>
            <w14:solidFill>
              <w14:schemeClr w14:val="tx1"/>
            </w14:solidFill>
          </w14:textFill>
        </w:rPr>
        <w:t>调整</w:t>
      </w:r>
      <w:r>
        <w:rPr>
          <w:rFonts w:hint="eastAsia" w:ascii="彩虹小标宋" w:hAnsi="微软雅黑" w:eastAsia="彩虹小标宋" w:cs="Arial"/>
          <w:bCs/>
          <w:color w:val="000000" w:themeColor="text1"/>
          <w:kern w:val="0"/>
          <w:sz w:val="40"/>
          <w:szCs w:val="40"/>
          <w:lang w:eastAsia="zh-CN"/>
          <w14:textFill>
            <w14:solidFill>
              <w14:schemeClr w14:val="tx1"/>
            </w14:solidFill>
          </w14:textFill>
        </w:rPr>
        <w:t>建信理财</w:t>
      </w:r>
      <w:r>
        <w:rPr>
          <w:rFonts w:hint="eastAsia" w:ascii="彩虹小标宋" w:hAnsi="微软雅黑" w:eastAsia="彩虹小标宋" w:cs="Arial"/>
          <w:bCs/>
          <w:color w:val="000000" w:themeColor="text1"/>
          <w:kern w:val="0"/>
          <w:sz w:val="40"/>
          <w:szCs w:val="40"/>
          <w:lang w:val="en-US" w:eastAsia="zh-CN"/>
          <w14:textFill>
            <w14:solidFill>
              <w14:schemeClr w14:val="tx1"/>
            </w14:solidFill>
          </w14:textFill>
        </w:rPr>
        <w:t>部分产品业绩比较基准和测算</w:t>
      </w:r>
      <w:r>
        <w:rPr>
          <w:rFonts w:hint="eastAsia" w:ascii="彩虹小标宋" w:hAnsi="微软雅黑" w:eastAsia="彩虹小标宋" w:cs="Arial"/>
          <w:bCs/>
          <w:color w:val="000000" w:themeColor="text1"/>
          <w:kern w:val="0"/>
          <w:sz w:val="40"/>
          <w:szCs w:val="40"/>
          <w14:textFill>
            <w14:solidFill>
              <w14:schemeClr w14:val="tx1"/>
            </w14:solidFill>
          </w14:textFill>
        </w:rPr>
        <w:t>的</w:t>
      </w:r>
      <w:r>
        <w:rPr>
          <w:rFonts w:hint="eastAsia" w:ascii="彩虹小标宋" w:hAnsi="微软雅黑" w:eastAsia="彩虹小标宋" w:cs="Arial"/>
          <w:bCs/>
          <w:color w:val="000000" w:themeColor="text1"/>
          <w:kern w:val="0"/>
          <w:sz w:val="40"/>
          <w:szCs w:val="40"/>
          <w:lang w:val="en-US" w:eastAsia="zh-CN"/>
          <w14:textFill>
            <w14:solidFill>
              <w14:schemeClr w14:val="tx1"/>
            </w14:solidFill>
          </w14:textFill>
        </w:rPr>
        <w:t>公</w:t>
      </w:r>
      <w:r>
        <w:rPr>
          <w:rFonts w:hint="eastAsia" w:ascii="彩虹小标宋" w:hAnsi="微软雅黑" w:eastAsia="彩虹小标宋" w:cs="Arial"/>
          <w:bCs/>
          <w:color w:val="000000" w:themeColor="text1"/>
          <w:kern w:val="0"/>
          <w:sz w:val="40"/>
          <w:szCs w:val="40"/>
          <w:lang w:eastAsia="zh-CN"/>
          <w14:textFill>
            <w14:solidFill>
              <w14:schemeClr w14:val="tx1"/>
            </w14:solidFill>
          </w14:textFill>
        </w:rPr>
        <w:t>告</w:t>
      </w:r>
    </w:p>
    <w:p w14:paraId="1DC8A28F">
      <w:pPr>
        <w:widowControl/>
        <w:snapToGrid w:val="0"/>
        <w:spacing w:line="560" w:lineRule="exact"/>
        <w:rPr>
          <w:rFonts w:ascii="彩虹小标宋" w:hAnsi="微软雅黑" w:eastAsia="彩虹小标宋" w:cs="Arial"/>
          <w:b/>
          <w:bCs/>
          <w:color w:val="000000" w:themeColor="text1"/>
          <w:kern w:val="0"/>
          <w:sz w:val="44"/>
          <w:szCs w:val="44"/>
          <w14:textFill>
            <w14:solidFill>
              <w14:schemeClr w14:val="tx1"/>
            </w14:solidFill>
          </w14:textFill>
        </w:rPr>
      </w:pPr>
    </w:p>
    <w:p w14:paraId="5AEABA58">
      <w:pPr>
        <w:widowControl/>
        <w:snapToGrid w:val="0"/>
        <w:spacing w:line="560" w:lineRule="exact"/>
        <w:rPr>
          <w:rFonts w:ascii="彩虹粗仿宋" w:hAnsi="微软雅黑" w:eastAsia="彩虹粗仿宋" w:cs="Arial"/>
          <w:color w:val="666666"/>
          <w:kern w:val="0"/>
          <w:sz w:val="32"/>
          <w:szCs w:val="32"/>
        </w:rPr>
      </w:pPr>
      <w:r>
        <w:rPr>
          <w:rFonts w:hint="eastAsia" w:ascii="彩虹粗仿宋" w:hAnsi="宋体" w:eastAsia="彩虹粗仿宋" w:cs="Arial"/>
          <w:color w:val="000000"/>
          <w:kern w:val="0"/>
          <w:sz w:val="32"/>
          <w:szCs w:val="32"/>
        </w:rPr>
        <w:t>尊敬的投资者：</w:t>
      </w:r>
    </w:p>
    <w:p w14:paraId="54663936">
      <w:pPr>
        <w:widowControl/>
        <w:snapToGrid w:val="0"/>
        <w:spacing w:line="560" w:lineRule="exact"/>
        <w:ind w:firstLine="640" w:firstLineChars="200"/>
        <w:rPr>
          <w:rFonts w:ascii="彩虹粗仿宋" w:hAnsi="宋体" w:eastAsia="彩虹粗仿宋" w:cs="Arial"/>
          <w:color w:val="000000"/>
          <w:kern w:val="0"/>
          <w:sz w:val="32"/>
          <w:szCs w:val="32"/>
        </w:rPr>
      </w:pPr>
      <w:r>
        <w:rPr>
          <w:rFonts w:hint="eastAsia" w:ascii="彩虹粗仿宋" w:hAnsi="宋体" w:eastAsia="彩虹粗仿宋" w:cs="Arial"/>
          <w:color w:val="000000"/>
          <w:kern w:val="0"/>
          <w:sz w:val="32"/>
          <w:szCs w:val="32"/>
        </w:rPr>
        <w:t>基于当前市场环境，综合考虑宏观经济及各类资产收益水平变化，结合产品运作情况、拟投资策略历史业绩等因素，为更好地为客户提供投资理财服务，建信理财有限责任公司拟调整建信理财部分产品的业绩比较基准</w:t>
      </w:r>
      <w:r>
        <w:rPr>
          <w:rFonts w:hint="eastAsia" w:ascii="彩虹粗仿宋" w:hAnsi="宋体" w:eastAsia="彩虹粗仿宋" w:cs="Arial"/>
          <w:color w:val="000000"/>
          <w:kern w:val="0"/>
          <w:sz w:val="32"/>
          <w:szCs w:val="32"/>
          <w:lang w:val="en-US" w:eastAsia="zh-CN"/>
        </w:rPr>
        <w:t>及测算</w:t>
      </w:r>
      <w:r>
        <w:rPr>
          <w:rFonts w:hint="eastAsia" w:ascii="彩虹粗仿宋" w:hAnsi="宋体" w:eastAsia="彩虹粗仿宋" w:cs="Arial"/>
          <w:color w:val="000000"/>
          <w:kern w:val="0"/>
          <w:sz w:val="32"/>
          <w:szCs w:val="32"/>
        </w:rPr>
        <w:t>，并相应修改产品风险揭示书和产品说明书的相关内容。具体调整内容如下：</w:t>
      </w:r>
    </w:p>
    <w:tbl>
      <w:tblPr>
        <w:tblStyle w:val="9"/>
        <w:tblpPr w:leftFromText="180" w:rightFromText="180" w:vertAnchor="text" w:tblpXSpec="center" w:tblpY="1"/>
        <w:tblOverlap w:val="never"/>
        <w:tblW w:w="47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801"/>
        <w:gridCol w:w="1912"/>
        <w:gridCol w:w="1521"/>
        <w:gridCol w:w="2486"/>
        <w:gridCol w:w="2983"/>
        <w:gridCol w:w="1583"/>
      </w:tblGrid>
      <w:tr w14:paraId="19AA1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333" w:hRule="atLeast"/>
          <w:jc w:val="center"/>
        </w:trPr>
        <w:tc>
          <w:tcPr>
            <w:tcW w:w="1054" w:type="pct"/>
            <w:shd w:val="clear" w:color="auto" w:fill="FFFFFF"/>
            <w:tcMar>
              <w:top w:w="0" w:type="dxa"/>
              <w:left w:w="108" w:type="dxa"/>
              <w:bottom w:w="0" w:type="dxa"/>
              <w:right w:w="108" w:type="dxa"/>
            </w:tcMar>
            <w:vAlign w:val="center"/>
          </w:tcPr>
          <w:p w14:paraId="1FD8C2CE">
            <w:pPr>
              <w:ind w:left="-123" w:leftChars="-67" w:hanging="18" w:hangingChars="9"/>
              <w:jc w:val="center"/>
              <w:rPr>
                <w:rFonts w:hint="eastAsia" w:ascii="宋体" w:hAnsi="宋体" w:eastAsia="宋体" w:cs="宋体"/>
                <w:sz w:val="20"/>
                <w:szCs w:val="20"/>
              </w:rPr>
            </w:pPr>
            <w:r>
              <w:rPr>
                <w:rFonts w:hint="eastAsia" w:ascii="宋体" w:hAnsi="宋体" w:eastAsia="宋体" w:cs="宋体"/>
                <w:sz w:val="20"/>
                <w:szCs w:val="20"/>
              </w:rPr>
              <w:t>产品名称</w:t>
            </w:r>
          </w:p>
        </w:tc>
        <w:tc>
          <w:tcPr>
            <w:tcW w:w="719" w:type="pct"/>
            <w:shd w:val="clear" w:color="auto" w:fill="FFFFFF"/>
            <w:tcMar>
              <w:top w:w="0" w:type="dxa"/>
              <w:left w:w="108" w:type="dxa"/>
              <w:bottom w:w="0" w:type="dxa"/>
              <w:right w:w="108" w:type="dxa"/>
            </w:tcMar>
            <w:vAlign w:val="center"/>
          </w:tcPr>
          <w:p w14:paraId="59B62EB4">
            <w:pPr>
              <w:jc w:val="center"/>
              <w:rPr>
                <w:rFonts w:hint="eastAsia" w:ascii="宋体" w:hAnsi="宋体" w:eastAsia="宋体" w:cs="宋体"/>
                <w:sz w:val="20"/>
                <w:szCs w:val="20"/>
              </w:rPr>
            </w:pPr>
            <w:r>
              <w:rPr>
                <w:rFonts w:hint="eastAsia" w:ascii="宋体" w:hAnsi="宋体" w:eastAsia="宋体" w:cs="宋体"/>
                <w:sz w:val="20"/>
                <w:szCs w:val="20"/>
              </w:rPr>
              <w:t>全国银行业理财信息登记系统编号</w:t>
            </w:r>
          </w:p>
        </w:tc>
        <w:tc>
          <w:tcPr>
            <w:tcW w:w="572" w:type="pct"/>
            <w:shd w:val="clear" w:color="auto" w:fill="FFFFFF"/>
            <w:tcMar>
              <w:top w:w="0" w:type="dxa"/>
              <w:left w:w="108" w:type="dxa"/>
              <w:bottom w:w="0" w:type="dxa"/>
              <w:right w:w="108" w:type="dxa"/>
            </w:tcMar>
            <w:vAlign w:val="center"/>
          </w:tcPr>
          <w:p w14:paraId="08884EA4">
            <w:pPr>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调整项</w:t>
            </w:r>
          </w:p>
        </w:tc>
        <w:tc>
          <w:tcPr>
            <w:tcW w:w="935" w:type="pct"/>
            <w:shd w:val="clear" w:color="auto" w:fill="FFFFFF"/>
            <w:tcMar>
              <w:top w:w="0" w:type="dxa"/>
              <w:left w:w="108" w:type="dxa"/>
              <w:bottom w:w="0" w:type="dxa"/>
              <w:right w:w="108" w:type="dxa"/>
            </w:tcMar>
            <w:vAlign w:val="center"/>
          </w:tcPr>
          <w:p w14:paraId="3D2A8F60">
            <w:pPr>
              <w:jc w:val="center"/>
              <w:rPr>
                <w:rFonts w:hint="eastAsia" w:ascii="宋体" w:hAnsi="宋体" w:eastAsia="宋体" w:cs="宋体"/>
                <w:sz w:val="20"/>
                <w:szCs w:val="20"/>
              </w:rPr>
            </w:pPr>
            <w:r>
              <w:rPr>
                <w:rFonts w:hint="eastAsia" w:ascii="宋体" w:hAnsi="宋体" w:eastAsia="宋体" w:cs="宋体"/>
                <w:sz w:val="20"/>
                <w:szCs w:val="20"/>
              </w:rPr>
              <w:t>调整前</w:t>
            </w:r>
          </w:p>
        </w:tc>
        <w:tc>
          <w:tcPr>
            <w:tcW w:w="1122" w:type="pct"/>
            <w:shd w:val="clear" w:color="auto" w:fill="FFFFFF"/>
            <w:vAlign w:val="center"/>
          </w:tcPr>
          <w:p w14:paraId="24CB2381">
            <w:pPr>
              <w:ind w:left="-123" w:leftChars="-67" w:hanging="18" w:hangingChars="9"/>
              <w:jc w:val="center"/>
              <w:rPr>
                <w:rFonts w:hint="eastAsia" w:ascii="宋体" w:hAnsi="宋体" w:eastAsia="宋体" w:cs="宋体"/>
                <w:sz w:val="20"/>
                <w:szCs w:val="20"/>
              </w:rPr>
            </w:pPr>
            <w:r>
              <w:rPr>
                <w:rFonts w:hint="eastAsia" w:ascii="宋体" w:hAnsi="宋体" w:eastAsia="宋体" w:cs="宋体"/>
                <w:sz w:val="20"/>
                <w:szCs w:val="20"/>
              </w:rPr>
              <w:t>调整后</w:t>
            </w:r>
          </w:p>
        </w:tc>
        <w:tc>
          <w:tcPr>
            <w:tcW w:w="595" w:type="pct"/>
            <w:shd w:val="clear" w:color="auto" w:fill="FFFFFF"/>
            <w:vAlign w:val="center"/>
          </w:tcPr>
          <w:p w14:paraId="314AB261">
            <w:pPr>
              <w:pStyle w:val="7"/>
              <w:widowControl w:val="0"/>
              <w:snapToGrid w:val="0"/>
              <w:spacing w:before="0" w:beforeAutospacing="0" w:after="0" w:afterAutospacing="0"/>
              <w:ind w:left="-123" w:leftChars="-67" w:hanging="18" w:hangingChars="9"/>
              <w:jc w:val="center"/>
              <w:rPr>
                <w:rFonts w:hint="eastAsia" w:ascii="宋体" w:hAnsi="宋体" w:eastAsia="宋体" w:cs="宋体"/>
                <w:kern w:val="2"/>
                <w:sz w:val="20"/>
                <w:szCs w:val="20"/>
                <w:lang w:eastAsia="zh-CN"/>
              </w:rPr>
            </w:pPr>
            <w:r>
              <w:rPr>
                <w:rFonts w:hint="eastAsia" w:ascii="宋体" w:hAnsi="宋体" w:eastAsia="宋体" w:cs="宋体"/>
                <w:kern w:val="2"/>
                <w:sz w:val="20"/>
                <w:szCs w:val="20"/>
              </w:rPr>
              <w:t>生效日</w:t>
            </w:r>
            <w:r>
              <w:rPr>
                <w:rFonts w:hint="eastAsia" w:ascii="宋体" w:hAnsi="宋体" w:eastAsia="宋体" w:cs="宋体"/>
                <w:kern w:val="2"/>
                <w:sz w:val="20"/>
                <w:szCs w:val="20"/>
                <w:lang w:eastAsia="zh-CN"/>
              </w:rPr>
              <w:t>（</w:t>
            </w:r>
            <w:r>
              <w:rPr>
                <w:rFonts w:hint="eastAsia" w:ascii="宋体" w:hAnsi="宋体" w:eastAsia="宋体" w:cs="宋体"/>
                <w:kern w:val="2"/>
                <w:sz w:val="20"/>
                <w:szCs w:val="20"/>
                <w:lang w:val="en-US" w:eastAsia="zh-CN"/>
              </w:rPr>
              <w:t>含</w:t>
            </w:r>
            <w:r>
              <w:rPr>
                <w:rFonts w:hint="eastAsia" w:ascii="宋体" w:hAnsi="宋体" w:eastAsia="宋体" w:cs="宋体"/>
                <w:kern w:val="2"/>
                <w:sz w:val="20"/>
                <w:szCs w:val="20"/>
                <w:lang w:eastAsia="zh-CN"/>
              </w:rPr>
              <w:t>）</w:t>
            </w:r>
          </w:p>
        </w:tc>
      </w:tr>
      <w:tr w14:paraId="08D9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43" w:hRule="atLeast"/>
          <w:jc w:val="center"/>
        </w:trPr>
        <w:tc>
          <w:tcPr>
            <w:tcW w:w="1054" w:type="pct"/>
            <w:vMerge w:val="restart"/>
            <w:shd w:val="clear" w:color="auto" w:fill="FFFFFF"/>
            <w:tcMar>
              <w:top w:w="0" w:type="dxa"/>
              <w:left w:w="108" w:type="dxa"/>
              <w:bottom w:w="0" w:type="dxa"/>
              <w:right w:w="108" w:type="dxa"/>
            </w:tcMar>
            <w:vAlign w:val="center"/>
          </w:tcPr>
          <w:p w14:paraId="2C5FC2F5">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建信理财嘉鑫（法人版）固收类按日开放式产品第10期</w:t>
            </w:r>
          </w:p>
        </w:tc>
        <w:tc>
          <w:tcPr>
            <w:tcW w:w="719" w:type="pct"/>
            <w:vMerge w:val="restart"/>
            <w:shd w:val="clear" w:color="auto" w:fill="FFFFFF"/>
            <w:tcMar>
              <w:top w:w="0" w:type="dxa"/>
              <w:left w:w="108" w:type="dxa"/>
              <w:bottom w:w="0" w:type="dxa"/>
              <w:right w:w="108" w:type="dxa"/>
            </w:tcMar>
            <w:vAlign w:val="center"/>
          </w:tcPr>
          <w:p w14:paraId="1DE34C56">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Z7000724000799</w:t>
            </w:r>
          </w:p>
        </w:tc>
        <w:tc>
          <w:tcPr>
            <w:tcW w:w="572" w:type="pct"/>
            <w:shd w:val="clear" w:color="auto" w:fill="FFFFFF"/>
            <w:tcMar>
              <w:top w:w="0" w:type="dxa"/>
              <w:left w:w="108" w:type="dxa"/>
              <w:bottom w:w="0" w:type="dxa"/>
              <w:right w:w="108" w:type="dxa"/>
            </w:tcMar>
            <w:vAlign w:val="center"/>
          </w:tcPr>
          <w:p w14:paraId="46BEFA83">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业绩比较基准</w:t>
            </w:r>
          </w:p>
        </w:tc>
        <w:tc>
          <w:tcPr>
            <w:tcW w:w="935" w:type="pct"/>
            <w:shd w:val="clear" w:color="auto" w:fill="FFFFFF"/>
            <w:tcMar>
              <w:top w:w="0" w:type="dxa"/>
              <w:left w:w="108" w:type="dxa"/>
              <w:bottom w:w="0" w:type="dxa"/>
              <w:right w:w="108" w:type="dxa"/>
            </w:tcMar>
            <w:vAlign w:val="center"/>
          </w:tcPr>
          <w:p w14:paraId="3C77C781">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2.00%（年化）</w:t>
            </w:r>
          </w:p>
        </w:tc>
        <w:tc>
          <w:tcPr>
            <w:tcW w:w="1122" w:type="pct"/>
            <w:shd w:val="clear" w:color="auto" w:fill="FFFFFF"/>
            <w:tcMar>
              <w:top w:w="0" w:type="dxa"/>
              <w:left w:w="108" w:type="dxa"/>
              <w:bottom w:w="0" w:type="dxa"/>
              <w:right w:w="108" w:type="dxa"/>
            </w:tcMar>
            <w:vAlign w:val="center"/>
          </w:tcPr>
          <w:p w14:paraId="71D97619">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50%*中国人民银行公布的活期存款利率+50%中债0-3个月国债财富（总值）指数收益率</w:t>
            </w:r>
          </w:p>
        </w:tc>
        <w:tc>
          <w:tcPr>
            <w:tcW w:w="595" w:type="pct"/>
            <w:vMerge w:val="restart"/>
            <w:shd w:val="clear" w:color="auto" w:fill="FFFFFF"/>
            <w:vAlign w:val="center"/>
          </w:tcPr>
          <w:p w14:paraId="665FEB78">
            <w:pPr>
              <w:widowControl/>
              <w:jc w:val="center"/>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2026年8月5日</w:t>
            </w:r>
          </w:p>
        </w:tc>
      </w:tr>
      <w:tr w14:paraId="7CA1E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43" w:hRule="atLeast"/>
          <w:jc w:val="center"/>
        </w:trPr>
        <w:tc>
          <w:tcPr>
            <w:tcW w:w="1054" w:type="pct"/>
            <w:vMerge w:val="continue"/>
            <w:shd w:val="clear" w:color="auto" w:fill="FFFFFF"/>
            <w:tcMar>
              <w:top w:w="0" w:type="dxa"/>
              <w:left w:w="108" w:type="dxa"/>
              <w:bottom w:w="0" w:type="dxa"/>
              <w:right w:w="108" w:type="dxa"/>
            </w:tcMar>
            <w:vAlign w:val="center"/>
          </w:tcPr>
          <w:p w14:paraId="01E1BC93">
            <w:pPr>
              <w:widowControl/>
              <w:jc w:val="center"/>
              <w:rPr>
                <w:rFonts w:hint="eastAsia" w:ascii="宋体" w:hAnsi="宋体" w:eastAsia="宋体" w:cs="宋体"/>
                <w:color w:val="000000" w:themeColor="text1"/>
                <w:kern w:val="0"/>
                <w:sz w:val="20"/>
                <w:szCs w:val="20"/>
                <w14:textFill>
                  <w14:solidFill>
                    <w14:schemeClr w14:val="tx1"/>
                  </w14:solidFill>
                </w14:textFill>
              </w:rPr>
            </w:pPr>
          </w:p>
        </w:tc>
        <w:tc>
          <w:tcPr>
            <w:tcW w:w="719" w:type="pct"/>
            <w:vMerge w:val="continue"/>
            <w:shd w:val="clear" w:color="auto" w:fill="FFFFFF"/>
            <w:tcMar>
              <w:top w:w="0" w:type="dxa"/>
              <w:left w:w="108" w:type="dxa"/>
              <w:bottom w:w="0" w:type="dxa"/>
              <w:right w:w="108" w:type="dxa"/>
            </w:tcMar>
            <w:vAlign w:val="center"/>
          </w:tcPr>
          <w:p w14:paraId="7CA882C3">
            <w:pPr>
              <w:widowControl/>
              <w:jc w:val="center"/>
              <w:rPr>
                <w:rFonts w:hint="eastAsia" w:ascii="宋体" w:hAnsi="宋体" w:eastAsia="宋体" w:cs="宋体"/>
                <w:color w:val="000000" w:themeColor="text1"/>
                <w:kern w:val="0"/>
                <w:sz w:val="20"/>
                <w:szCs w:val="20"/>
                <w14:textFill>
                  <w14:solidFill>
                    <w14:schemeClr w14:val="tx1"/>
                  </w14:solidFill>
                </w14:textFill>
              </w:rPr>
            </w:pPr>
          </w:p>
        </w:tc>
        <w:tc>
          <w:tcPr>
            <w:tcW w:w="572" w:type="pct"/>
            <w:shd w:val="clear" w:color="auto" w:fill="FFFFFF"/>
            <w:tcMar>
              <w:top w:w="0" w:type="dxa"/>
              <w:left w:w="108" w:type="dxa"/>
              <w:bottom w:w="0" w:type="dxa"/>
              <w:right w:w="108" w:type="dxa"/>
            </w:tcMar>
            <w:vAlign w:val="center"/>
          </w:tcPr>
          <w:p w14:paraId="2A9599FE">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业绩比较基准选择原因及测算依据</w:t>
            </w:r>
          </w:p>
        </w:tc>
        <w:tc>
          <w:tcPr>
            <w:tcW w:w="935" w:type="pct"/>
            <w:shd w:val="clear" w:color="auto" w:fill="FFFFFF"/>
            <w:tcMar>
              <w:top w:w="0" w:type="dxa"/>
              <w:left w:w="108" w:type="dxa"/>
              <w:bottom w:w="0" w:type="dxa"/>
              <w:right w:w="108" w:type="dxa"/>
            </w:tcMar>
            <w:vAlign w:val="center"/>
          </w:tcPr>
          <w:p w14:paraId="21F4860C">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以100%投资于现金、货币市场工具、银行存款、债券等固定收益类资产，组合杠杆率120%为例，业绩比较基准参考中债-综合财富（1年以下）指数收益率，考虑资本利得收益并结合产品投资策略进行测算，扣除销售费、管理费、托管费等费用，确定本理财产品业绩比较基准为年化2.00%。</w:t>
            </w:r>
          </w:p>
        </w:tc>
        <w:tc>
          <w:tcPr>
            <w:tcW w:w="1122" w:type="pct"/>
            <w:shd w:val="clear" w:color="auto" w:fill="FFFFFF"/>
            <w:tcMar>
              <w:top w:w="0" w:type="dxa"/>
              <w:left w:w="108" w:type="dxa"/>
              <w:bottom w:w="0" w:type="dxa"/>
              <w:right w:w="108" w:type="dxa"/>
            </w:tcMar>
            <w:vAlign w:val="center"/>
          </w:tcPr>
          <w:p w14:paraId="1C6C6AC0">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以100%投资于现金类资产、货币市场工具、货币市场基金和债券型基金等证券投资基金、标准化固定收益类资产、其他符合监管要求的资产，组合杠杆率120%为例，业绩比较基准参考中国人民银行公布的活期存款利率和中债0-3个月国债财富（总值）指数收益率，考虑资本利得收益并结合产品投资策略进行测算，扣除销售费、管理费、托管费等费用，确定本理财产品业绩比较基准。</w:t>
            </w:r>
          </w:p>
        </w:tc>
        <w:tc>
          <w:tcPr>
            <w:tcW w:w="595" w:type="pct"/>
            <w:vMerge w:val="continue"/>
            <w:shd w:val="clear" w:color="auto" w:fill="FFFFFF"/>
            <w:vAlign w:val="center"/>
          </w:tcPr>
          <w:p w14:paraId="27A9DA27">
            <w:pPr>
              <w:widowControl/>
              <w:jc w:val="center"/>
              <w:rPr>
                <w:rFonts w:hint="eastAsia" w:ascii="宋体" w:hAnsi="宋体" w:eastAsia="宋体" w:cs="宋体"/>
                <w:color w:val="000000" w:themeColor="text1"/>
                <w:sz w:val="20"/>
                <w:szCs w:val="20"/>
                <w14:textFill>
                  <w14:solidFill>
                    <w14:schemeClr w14:val="tx1"/>
                  </w14:solidFill>
                </w14:textFill>
              </w:rPr>
            </w:pPr>
          </w:p>
        </w:tc>
      </w:tr>
      <w:tr w14:paraId="07C2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40" w:hRule="atLeast"/>
          <w:jc w:val="center"/>
        </w:trPr>
        <w:tc>
          <w:tcPr>
            <w:tcW w:w="1054" w:type="pct"/>
            <w:vMerge w:val="restart"/>
            <w:shd w:val="clear" w:color="auto" w:fill="FFFFFF"/>
            <w:tcMar>
              <w:top w:w="0" w:type="dxa"/>
              <w:left w:w="108" w:type="dxa"/>
              <w:bottom w:w="0" w:type="dxa"/>
              <w:right w:w="108" w:type="dxa"/>
            </w:tcMar>
            <w:vAlign w:val="center"/>
          </w:tcPr>
          <w:p w14:paraId="497C2A66">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建信理财嘉鑫（法人版）固收类最低持有14天产品第1期</w:t>
            </w:r>
          </w:p>
        </w:tc>
        <w:tc>
          <w:tcPr>
            <w:tcW w:w="719" w:type="pct"/>
            <w:vMerge w:val="restart"/>
            <w:shd w:val="clear" w:color="auto" w:fill="FFFFFF"/>
            <w:tcMar>
              <w:top w:w="0" w:type="dxa"/>
              <w:left w:w="108" w:type="dxa"/>
              <w:bottom w:w="0" w:type="dxa"/>
              <w:right w:w="108" w:type="dxa"/>
            </w:tcMar>
            <w:vAlign w:val="center"/>
          </w:tcPr>
          <w:p w14:paraId="7C074B14">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Z7000724000803</w:t>
            </w:r>
          </w:p>
        </w:tc>
        <w:tc>
          <w:tcPr>
            <w:tcW w:w="572" w:type="pct"/>
            <w:shd w:val="clear" w:color="auto" w:fill="FFFFFF"/>
            <w:tcMar>
              <w:top w:w="0" w:type="dxa"/>
              <w:left w:w="108" w:type="dxa"/>
              <w:bottom w:w="0" w:type="dxa"/>
              <w:right w:w="108" w:type="dxa"/>
            </w:tcMar>
            <w:vAlign w:val="center"/>
          </w:tcPr>
          <w:p w14:paraId="0C379250">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业绩比较基准</w:t>
            </w:r>
          </w:p>
        </w:tc>
        <w:tc>
          <w:tcPr>
            <w:tcW w:w="935" w:type="pct"/>
            <w:shd w:val="clear" w:color="auto" w:fill="FFFFFF"/>
            <w:tcMar>
              <w:top w:w="0" w:type="dxa"/>
              <w:left w:w="108" w:type="dxa"/>
              <w:bottom w:w="0" w:type="dxa"/>
              <w:right w:w="108" w:type="dxa"/>
            </w:tcMar>
            <w:vAlign w:val="center"/>
          </w:tcPr>
          <w:p w14:paraId="1E0D122A">
            <w:pPr>
              <w:widowControl/>
              <w:jc w:val="center"/>
              <w:rPr>
                <w:rFonts w:hint="eastAsia" w:ascii="宋体" w:hAnsi="宋体" w:eastAsia="宋体" w:cs="宋体"/>
                <w:color w:val="000000" w:themeColor="text1"/>
                <w:kern w:val="0"/>
                <w:sz w:val="20"/>
                <w:szCs w:val="20"/>
                <w:lang w:val="en-US" w:eastAsia="zh-CN"/>
                <w14:textFill>
                  <w14:solidFill>
                    <w14:schemeClr w14:val="tx1"/>
                  </w14:solidFill>
                </w14:textFill>
              </w:rPr>
            </w:pPr>
            <w:r>
              <w:rPr>
                <w:rFonts w:hint="eastAsia" w:ascii="宋体" w:hAnsi="宋体" w:eastAsia="宋体" w:cs="宋体"/>
                <w:color w:val="000000" w:themeColor="text1"/>
                <w:kern w:val="0"/>
                <w:sz w:val="20"/>
                <w:szCs w:val="20"/>
                <w:lang w:val="en-US" w:eastAsia="zh-CN"/>
                <w14:textFill>
                  <w14:solidFill>
                    <w14:schemeClr w14:val="tx1"/>
                  </w14:solidFill>
                </w14:textFill>
              </w:rPr>
              <w:t>2.3%-2.9%</w:t>
            </w:r>
            <w:r>
              <w:rPr>
                <w:rFonts w:hint="eastAsia" w:ascii="宋体" w:hAnsi="宋体" w:eastAsia="宋体" w:cs="宋体"/>
                <w:color w:val="000000" w:themeColor="text1"/>
                <w:kern w:val="0"/>
                <w:sz w:val="20"/>
                <w:szCs w:val="20"/>
                <w14:textFill>
                  <w14:solidFill>
                    <w14:schemeClr w14:val="tx1"/>
                  </w14:solidFill>
                </w14:textFill>
              </w:rPr>
              <w:t>（年化）</w:t>
            </w:r>
          </w:p>
        </w:tc>
        <w:tc>
          <w:tcPr>
            <w:tcW w:w="1122" w:type="pct"/>
            <w:shd w:val="clear" w:color="auto" w:fill="FFFFFF"/>
            <w:tcMar>
              <w:top w:w="0" w:type="dxa"/>
              <w:left w:w="108" w:type="dxa"/>
              <w:bottom w:w="0" w:type="dxa"/>
              <w:right w:w="108" w:type="dxa"/>
            </w:tcMar>
            <w:vAlign w:val="center"/>
          </w:tcPr>
          <w:p w14:paraId="4B674BB7">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招商银行最新公布的3个月整存整取定期存款利率+0.05%</w:t>
            </w:r>
          </w:p>
        </w:tc>
        <w:tc>
          <w:tcPr>
            <w:tcW w:w="595" w:type="pct"/>
            <w:vMerge w:val="restart"/>
            <w:shd w:val="clear" w:color="auto" w:fill="FFFFFF"/>
            <w:vAlign w:val="center"/>
          </w:tcPr>
          <w:p w14:paraId="40D75295">
            <w:pPr>
              <w:widowControl/>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2026年8月18日</w:t>
            </w:r>
          </w:p>
        </w:tc>
      </w:tr>
      <w:tr w14:paraId="6CB3A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53" w:hRule="atLeast"/>
          <w:jc w:val="center"/>
        </w:trPr>
        <w:tc>
          <w:tcPr>
            <w:tcW w:w="1054" w:type="pct"/>
            <w:vMerge w:val="continue"/>
            <w:shd w:val="clear" w:color="auto" w:fill="FFFFFF"/>
            <w:tcMar>
              <w:top w:w="0" w:type="dxa"/>
              <w:left w:w="108" w:type="dxa"/>
              <w:bottom w:w="0" w:type="dxa"/>
              <w:right w:w="108" w:type="dxa"/>
            </w:tcMar>
            <w:vAlign w:val="center"/>
          </w:tcPr>
          <w:p w14:paraId="459A0788">
            <w:pPr>
              <w:widowControl/>
              <w:jc w:val="center"/>
              <w:rPr>
                <w:rFonts w:hint="eastAsia" w:ascii="宋体" w:hAnsi="宋体" w:eastAsia="宋体" w:cs="宋体"/>
                <w:color w:val="000000" w:themeColor="text1"/>
                <w:kern w:val="0"/>
                <w:sz w:val="20"/>
                <w:szCs w:val="20"/>
                <w14:textFill>
                  <w14:solidFill>
                    <w14:schemeClr w14:val="tx1"/>
                  </w14:solidFill>
                </w14:textFill>
              </w:rPr>
            </w:pPr>
          </w:p>
        </w:tc>
        <w:tc>
          <w:tcPr>
            <w:tcW w:w="719" w:type="pct"/>
            <w:vMerge w:val="continue"/>
            <w:shd w:val="clear" w:color="auto" w:fill="FFFFFF"/>
            <w:tcMar>
              <w:top w:w="0" w:type="dxa"/>
              <w:left w:w="108" w:type="dxa"/>
              <w:bottom w:w="0" w:type="dxa"/>
              <w:right w:w="108" w:type="dxa"/>
            </w:tcMar>
            <w:vAlign w:val="center"/>
          </w:tcPr>
          <w:p w14:paraId="1C67AF98">
            <w:pPr>
              <w:widowControl/>
              <w:jc w:val="center"/>
              <w:rPr>
                <w:rFonts w:hint="eastAsia" w:ascii="宋体" w:hAnsi="宋体" w:eastAsia="宋体" w:cs="宋体"/>
                <w:color w:val="000000" w:themeColor="text1"/>
                <w:kern w:val="0"/>
                <w:sz w:val="20"/>
                <w:szCs w:val="20"/>
                <w14:textFill>
                  <w14:solidFill>
                    <w14:schemeClr w14:val="tx1"/>
                  </w14:solidFill>
                </w14:textFill>
              </w:rPr>
            </w:pPr>
          </w:p>
        </w:tc>
        <w:tc>
          <w:tcPr>
            <w:tcW w:w="572" w:type="pct"/>
            <w:shd w:val="clear" w:color="auto" w:fill="FFFFFF"/>
            <w:tcMar>
              <w:top w:w="0" w:type="dxa"/>
              <w:left w:w="108" w:type="dxa"/>
              <w:bottom w:w="0" w:type="dxa"/>
              <w:right w:w="108" w:type="dxa"/>
            </w:tcMar>
            <w:vAlign w:val="center"/>
          </w:tcPr>
          <w:p w14:paraId="33719718">
            <w:pPr>
              <w:widowControl/>
              <w:jc w:val="center"/>
              <w:rPr>
                <w:rFonts w:hint="eastAsia" w:ascii="宋体" w:hAnsi="宋体" w:eastAsia="宋体" w:cs="宋体"/>
                <w:color w:val="000000" w:themeColor="text1"/>
                <w:kern w:val="0"/>
                <w:sz w:val="20"/>
                <w:szCs w:val="20"/>
                <w:lang w:val="en-US" w:eastAsia="zh-CN"/>
                <w14:textFill>
                  <w14:solidFill>
                    <w14:schemeClr w14:val="tx1"/>
                  </w14:solidFill>
                </w14:textFill>
              </w:rPr>
            </w:pPr>
            <w:r>
              <w:rPr>
                <w:rFonts w:hint="eastAsia" w:ascii="宋体" w:hAnsi="宋体" w:eastAsia="宋体" w:cs="宋体"/>
                <w:color w:val="000000" w:themeColor="text1"/>
                <w:kern w:val="0"/>
                <w:sz w:val="20"/>
                <w:szCs w:val="20"/>
                <w:lang w:val="en-US" w:eastAsia="zh-CN"/>
                <w14:textFill>
                  <w14:solidFill>
                    <w14:schemeClr w14:val="tx1"/>
                  </w14:solidFill>
                </w14:textFill>
              </w:rPr>
              <w:t>业绩比较基准选择原因及测算依据</w:t>
            </w:r>
          </w:p>
        </w:tc>
        <w:tc>
          <w:tcPr>
            <w:tcW w:w="935" w:type="pct"/>
            <w:shd w:val="clear" w:color="auto" w:fill="FFFFFF"/>
            <w:tcMar>
              <w:top w:w="0" w:type="dxa"/>
              <w:left w:w="108" w:type="dxa"/>
              <w:bottom w:w="0" w:type="dxa"/>
              <w:right w:w="108" w:type="dxa"/>
            </w:tcMar>
            <w:vAlign w:val="center"/>
          </w:tcPr>
          <w:p w14:paraId="291277D7">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以产品投资现金、银行存款和货币市场工具仓位0%-100%，利率债仓位0%-20%，信用债仓位0%-80%，组合杠杆率120%为例，业绩比较基准参考中债-综合财富（1年以下）年指数收益率，考虑资本利得收益并结合产品投资策略进行测算，扣除销售费、管理费、托管费等费用，确定本理财产品业绩比较基准为2.3%-2.9%（年化）。</w:t>
            </w:r>
          </w:p>
        </w:tc>
        <w:tc>
          <w:tcPr>
            <w:tcW w:w="1122" w:type="pct"/>
            <w:shd w:val="clear" w:color="auto" w:fill="FFFFFF"/>
            <w:tcMar>
              <w:top w:w="0" w:type="dxa"/>
              <w:left w:w="108" w:type="dxa"/>
              <w:bottom w:w="0" w:type="dxa"/>
              <w:right w:w="108" w:type="dxa"/>
            </w:tcMar>
            <w:vAlign w:val="center"/>
          </w:tcPr>
          <w:p w14:paraId="38153219">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以100%投资于现金类资产、货币市场工具、货币市场基金和债券型基金等证券投资基金、标准化固定收益类资产、其他符合监管要求的资产，组合杠杆率120%为例，业绩比较基准参考招商银行的三个月整存整取存款利率，考虑资本利得收益并结合产品投资策略进行测算</w:t>
            </w:r>
            <w:bookmarkStart w:id="0" w:name="_GoBack"/>
            <w:bookmarkEnd w:id="0"/>
            <w:r>
              <w:rPr>
                <w:rFonts w:hint="eastAsia" w:ascii="宋体" w:hAnsi="宋体" w:eastAsia="宋体" w:cs="宋体"/>
                <w:color w:val="000000" w:themeColor="text1"/>
                <w:kern w:val="0"/>
                <w:sz w:val="20"/>
                <w:szCs w:val="20"/>
                <w14:textFill>
                  <w14:solidFill>
                    <w14:schemeClr w14:val="tx1"/>
                  </w14:solidFill>
                </w14:textFill>
              </w:rPr>
              <w:t>，扣除销售费、管理费、托管费等费用，确定本理财产品业绩比较基准。</w:t>
            </w:r>
          </w:p>
        </w:tc>
        <w:tc>
          <w:tcPr>
            <w:tcW w:w="595" w:type="pct"/>
            <w:vMerge w:val="continue"/>
            <w:shd w:val="clear" w:color="auto" w:fill="FFFFFF"/>
            <w:vAlign w:val="center"/>
          </w:tcPr>
          <w:p w14:paraId="7180696E">
            <w:pPr>
              <w:widowControl/>
              <w:jc w:val="center"/>
              <w:rPr>
                <w:rFonts w:hint="eastAsia" w:ascii="宋体" w:hAnsi="宋体" w:eastAsia="宋体" w:cs="宋体"/>
                <w:color w:val="000000" w:themeColor="text1"/>
                <w:sz w:val="20"/>
                <w:szCs w:val="20"/>
                <w14:textFill>
                  <w14:solidFill>
                    <w14:schemeClr w14:val="tx1"/>
                  </w14:solidFill>
                </w14:textFill>
              </w:rPr>
            </w:pPr>
          </w:p>
        </w:tc>
      </w:tr>
    </w:tbl>
    <w:p w14:paraId="22F2263B">
      <w:pPr>
        <w:spacing w:line="560" w:lineRule="exact"/>
        <w:rPr>
          <w:rFonts w:hint="eastAsia" w:ascii="宋体" w:hAnsi="宋体" w:eastAsia="宋体" w:cs="宋体"/>
          <w:sz w:val="20"/>
          <w:szCs w:val="20"/>
        </w:rPr>
      </w:pPr>
    </w:p>
    <w:p w14:paraId="6BF24F8A">
      <w:pPr>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如您不同意相关调整，可于公告中列示的可赎回申请日的开放时间内提出赎回申请。本公告未提及事宜，按原产品说明书和风险揭示书的约定执行。</w:t>
      </w:r>
    </w:p>
    <w:p w14:paraId="07EF8547">
      <w:pPr>
        <w:spacing w:line="560" w:lineRule="exact"/>
        <w:ind w:firstLine="640" w:firstLineChars="200"/>
        <w:rPr>
          <w:rFonts w:hint="eastAsia" w:ascii="彩虹粗仿宋" w:eastAsia="彩虹粗仿宋"/>
          <w:sz w:val="32"/>
          <w:szCs w:val="32"/>
        </w:rPr>
      </w:pPr>
    </w:p>
    <w:p w14:paraId="02EA7162">
      <w:pPr>
        <w:spacing w:line="560" w:lineRule="exact"/>
        <w:ind w:firstLine="640" w:firstLineChars="200"/>
        <w:rPr>
          <w:rFonts w:ascii="彩虹粗仿宋" w:eastAsia="彩虹粗仿宋"/>
          <w:sz w:val="32"/>
          <w:szCs w:val="32"/>
        </w:rPr>
      </w:pPr>
      <w:r>
        <w:rPr>
          <w:rFonts w:hint="eastAsia" w:ascii="彩虹粗仿宋" w:eastAsia="彩虹粗仿宋"/>
          <w:sz w:val="32"/>
          <w:szCs w:val="32"/>
        </w:rPr>
        <w:t>建信理财有限责任公司将本着勤勉尽职的原则持续为您提供专业化理财服务。</w:t>
      </w:r>
    </w:p>
    <w:p w14:paraId="25D66461">
      <w:pPr>
        <w:widowControl/>
        <w:snapToGrid w:val="0"/>
        <w:spacing w:line="560" w:lineRule="exact"/>
        <w:ind w:firstLine="640" w:firstLineChars="200"/>
        <w:rPr>
          <w:rFonts w:ascii="彩虹粗仿宋" w:hAnsi="宋体" w:eastAsia="彩虹粗仿宋" w:cs="Arial"/>
          <w:color w:val="000000"/>
          <w:kern w:val="0"/>
          <w:sz w:val="32"/>
          <w:szCs w:val="32"/>
          <w:highlight w:val="yellow"/>
        </w:rPr>
      </w:pPr>
      <w:r>
        <w:rPr>
          <w:rFonts w:hint="eastAsia" w:ascii="彩虹粗仿宋" w:eastAsia="彩虹粗仿宋"/>
          <w:sz w:val="32"/>
          <w:szCs w:val="32"/>
        </w:rPr>
        <w:t>特此</w:t>
      </w:r>
      <w:r>
        <w:rPr>
          <w:rFonts w:hint="eastAsia" w:ascii="彩虹粗仿宋" w:eastAsia="彩虹粗仿宋"/>
          <w:sz w:val="32"/>
          <w:szCs w:val="32"/>
          <w:lang w:val="en-US" w:eastAsia="zh-CN"/>
        </w:rPr>
        <w:t>公</w:t>
      </w:r>
      <w:r>
        <w:rPr>
          <w:rFonts w:hint="eastAsia" w:ascii="彩虹粗仿宋" w:eastAsia="彩虹粗仿宋"/>
          <w:sz w:val="32"/>
          <w:szCs w:val="32"/>
          <w:lang w:eastAsia="zh-CN"/>
        </w:rPr>
        <w:t>告</w:t>
      </w:r>
      <w:r>
        <w:rPr>
          <w:rFonts w:hint="eastAsia" w:ascii="彩虹粗仿宋" w:eastAsia="彩虹粗仿宋"/>
          <w:sz w:val="32"/>
          <w:szCs w:val="32"/>
        </w:rPr>
        <w:t>。</w:t>
      </w:r>
    </w:p>
    <w:p w14:paraId="32EA7EAE">
      <w:pPr>
        <w:widowControl/>
        <w:snapToGrid w:val="0"/>
        <w:spacing w:line="560" w:lineRule="exact"/>
        <w:ind w:firstLine="420"/>
        <w:rPr>
          <w:rFonts w:ascii="彩虹粗仿宋" w:hAnsi="宋体" w:eastAsia="彩虹粗仿宋" w:cs="Arial"/>
          <w:color w:val="000000"/>
          <w:kern w:val="0"/>
          <w:sz w:val="32"/>
          <w:szCs w:val="32"/>
          <w:highlight w:val="yellow"/>
        </w:rPr>
      </w:pPr>
    </w:p>
    <w:p w14:paraId="5B9A4B56">
      <w:pPr>
        <w:widowControl/>
        <w:snapToGrid w:val="0"/>
        <w:spacing w:line="560" w:lineRule="exact"/>
        <w:ind w:firstLine="420"/>
        <w:jc w:val="right"/>
        <w:rPr>
          <w:rFonts w:ascii="彩虹粗仿宋" w:eastAsia="彩虹粗仿宋"/>
          <w:sz w:val="32"/>
          <w:szCs w:val="32"/>
        </w:rPr>
      </w:pPr>
      <w:r>
        <w:rPr>
          <w:rFonts w:hint="eastAsia" w:ascii="彩虹粗仿宋" w:eastAsia="彩虹粗仿宋"/>
          <w:sz w:val="32"/>
          <w:szCs w:val="32"/>
        </w:rPr>
        <w:t>建信理财有限责任公司</w:t>
      </w:r>
    </w:p>
    <w:p w14:paraId="702C2F76">
      <w:pPr>
        <w:widowControl/>
        <w:snapToGrid w:val="0"/>
        <w:spacing w:line="560" w:lineRule="exact"/>
        <w:ind w:right="320" w:firstLine="420"/>
        <w:jc w:val="right"/>
        <w:rPr>
          <w:rFonts w:ascii="彩虹粗仿宋" w:eastAsia="彩虹粗仿宋"/>
        </w:rPr>
      </w:pPr>
      <w:r>
        <w:rPr>
          <w:rFonts w:hint="eastAsia" w:ascii="彩虹粗仿宋" w:hAnsi="宋体" w:eastAsia="彩虹粗仿宋" w:cs="Arial"/>
          <w:color w:val="000000"/>
          <w:kern w:val="0"/>
          <w:sz w:val="32"/>
          <w:szCs w:val="32"/>
        </w:rPr>
        <w:t>20</w:t>
      </w:r>
      <w:r>
        <w:rPr>
          <w:rFonts w:ascii="彩虹粗仿宋" w:hAnsi="宋体" w:eastAsia="彩虹粗仿宋" w:cs="Arial"/>
          <w:color w:val="000000"/>
          <w:kern w:val="0"/>
          <w:sz w:val="32"/>
          <w:szCs w:val="32"/>
        </w:rPr>
        <w:t>2</w:t>
      </w:r>
      <w:r>
        <w:rPr>
          <w:rFonts w:hint="eastAsia" w:ascii="彩虹粗仿宋" w:hAnsi="宋体" w:eastAsia="彩虹粗仿宋" w:cs="Arial"/>
          <w:color w:val="000000"/>
          <w:kern w:val="0"/>
          <w:sz w:val="32"/>
          <w:szCs w:val="32"/>
          <w:lang w:val="en-US" w:eastAsia="zh-CN"/>
        </w:rPr>
        <w:t>6</w:t>
      </w:r>
      <w:r>
        <w:rPr>
          <w:rFonts w:hint="eastAsia" w:ascii="彩虹粗仿宋" w:hAnsi="宋体" w:eastAsia="彩虹粗仿宋" w:cs="Arial"/>
          <w:color w:val="000000"/>
          <w:kern w:val="0"/>
          <w:sz w:val="32"/>
          <w:szCs w:val="32"/>
        </w:rPr>
        <w:t>年</w:t>
      </w:r>
      <w:r>
        <w:rPr>
          <w:rFonts w:hint="eastAsia" w:ascii="彩虹粗仿宋" w:hAnsi="宋体" w:eastAsia="彩虹粗仿宋" w:cs="Arial"/>
          <w:color w:val="000000"/>
          <w:kern w:val="0"/>
          <w:sz w:val="32"/>
          <w:szCs w:val="32"/>
          <w:lang w:val="en-US" w:eastAsia="zh-CN"/>
        </w:rPr>
        <w:t>8</w:t>
      </w:r>
      <w:r>
        <w:rPr>
          <w:rFonts w:hint="eastAsia" w:ascii="彩虹粗仿宋" w:hAnsi="宋体" w:eastAsia="彩虹粗仿宋" w:cs="Arial"/>
          <w:color w:val="000000"/>
          <w:kern w:val="0"/>
          <w:sz w:val="32"/>
          <w:szCs w:val="32"/>
        </w:rPr>
        <w:t>月</w:t>
      </w:r>
      <w:r>
        <w:rPr>
          <w:rFonts w:hint="eastAsia" w:ascii="彩虹粗仿宋" w:hAnsi="宋体" w:eastAsia="彩虹粗仿宋" w:cs="Arial"/>
          <w:color w:val="000000"/>
          <w:kern w:val="0"/>
          <w:sz w:val="32"/>
          <w:szCs w:val="32"/>
          <w:lang w:val="en-US" w:eastAsia="zh-CN"/>
        </w:rPr>
        <w:t>3</w:t>
      </w:r>
      <w:r>
        <w:rPr>
          <w:rFonts w:hint="eastAsia" w:ascii="彩虹粗仿宋" w:hAnsi="宋体" w:eastAsia="彩虹粗仿宋" w:cs="Arial"/>
          <w:color w:val="000000"/>
          <w:kern w:val="0"/>
          <w:sz w:val="32"/>
          <w:szCs w:val="32"/>
        </w:rPr>
        <w:t>日</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彩虹粗仿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hkZmQzYzU2MWU4OTg1ZjQ0MjVmZjgxZjk0YTljMmYifQ=="/>
  </w:docVars>
  <w:rsids>
    <w:rsidRoot w:val="007906E0"/>
    <w:rsid w:val="000043B1"/>
    <w:rsid w:val="00007B3D"/>
    <w:rsid w:val="000104F1"/>
    <w:rsid w:val="00013CD4"/>
    <w:rsid w:val="00015E30"/>
    <w:rsid w:val="000164A7"/>
    <w:rsid w:val="00022083"/>
    <w:rsid w:val="00023184"/>
    <w:rsid w:val="000234FA"/>
    <w:rsid w:val="00030133"/>
    <w:rsid w:val="000319EB"/>
    <w:rsid w:val="000334FA"/>
    <w:rsid w:val="000341FB"/>
    <w:rsid w:val="00035DF3"/>
    <w:rsid w:val="000406BE"/>
    <w:rsid w:val="00042291"/>
    <w:rsid w:val="00043307"/>
    <w:rsid w:val="00044AD3"/>
    <w:rsid w:val="000463ED"/>
    <w:rsid w:val="000478F3"/>
    <w:rsid w:val="00047EE5"/>
    <w:rsid w:val="00047F36"/>
    <w:rsid w:val="00071448"/>
    <w:rsid w:val="00072FF4"/>
    <w:rsid w:val="000742E7"/>
    <w:rsid w:val="000751FB"/>
    <w:rsid w:val="00081E98"/>
    <w:rsid w:val="00082D37"/>
    <w:rsid w:val="0008520A"/>
    <w:rsid w:val="00085EE8"/>
    <w:rsid w:val="00090ABC"/>
    <w:rsid w:val="00091FAD"/>
    <w:rsid w:val="00096C38"/>
    <w:rsid w:val="000A5AD6"/>
    <w:rsid w:val="000A6C8A"/>
    <w:rsid w:val="000A73CD"/>
    <w:rsid w:val="000B2E34"/>
    <w:rsid w:val="000B4931"/>
    <w:rsid w:val="000B6620"/>
    <w:rsid w:val="000B6E29"/>
    <w:rsid w:val="000B766B"/>
    <w:rsid w:val="000C4CFF"/>
    <w:rsid w:val="000C5971"/>
    <w:rsid w:val="000D2CB9"/>
    <w:rsid w:val="000D34C4"/>
    <w:rsid w:val="000D7E72"/>
    <w:rsid w:val="000E01FF"/>
    <w:rsid w:val="000E02A0"/>
    <w:rsid w:val="000E1B32"/>
    <w:rsid w:val="000E3F80"/>
    <w:rsid w:val="000E6829"/>
    <w:rsid w:val="000F0424"/>
    <w:rsid w:val="000F1DAF"/>
    <w:rsid w:val="000F2BA4"/>
    <w:rsid w:val="00100B00"/>
    <w:rsid w:val="00102027"/>
    <w:rsid w:val="00102983"/>
    <w:rsid w:val="0010480F"/>
    <w:rsid w:val="0011072F"/>
    <w:rsid w:val="001108F8"/>
    <w:rsid w:val="00116B57"/>
    <w:rsid w:val="0012199C"/>
    <w:rsid w:val="00121E1B"/>
    <w:rsid w:val="001257FF"/>
    <w:rsid w:val="001270A4"/>
    <w:rsid w:val="00127F79"/>
    <w:rsid w:val="00132133"/>
    <w:rsid w:val="00132B7A"/>
    <w:rsid w:val="00143C42"/>
    <w:rsid w:val="0014472D"/>
    <w:rsid w:val="0014641F"/>
    <w:rsid w:val="001479E9"/>
    <w:rsid w:val="001530FF"/>
    <w:rsid w:val="00161C53"/>
    <w:rsid w:val="00163BDA"/>
    <w:rsid w:val="0016630B"/>
    <w:rsid w:val="00166E3A"/>
    <w:rsid w:val="00167A86"/>
    <w:rsid w:val="001737BC"/>
    <w:rsid w:val="0017385D"/>
    <w:rsid w:val="0018189F"/>
    <w:rsid w:val="0018245C"/>
    <w:rsid w:val="00184A9D"/>
    <w:rsid w:val="00185E09"/>
    <w:rsid w:val="00187794"/>
    <w:rsid w:val="00192745"/>
    <w:rsid w:val="00192E64"/>
    <w:rsid w:val="0019488E"/>
    <w:rsid w:val="00194A7C"/>
    <w:rsid w:val="00197385"/>
    <w:rsid w:val="001A09A8"/>
    <w:rsid w:val="001A31F8"/>
    <w:rsid w:val="001A7182"/>
    <w:rsid w:val="001A7385"/>
    <w:rsid w:val="001B1A01"/>
    <w:rsid w:val="001B284D"/>
    <w:rsid w:val="001B724C"/>
    <w:rsid w:val="001C3524"/>
    <w:rsid w:val="001D0295"/>
    <w:rsid w:val="001D0B16"/>
    <w:rsid w:val="001E2E78"/>
    <w:rsid w:val="001E31B7"/>
    <w:rsid w:val="001E4B8D"/>
    <w:rsid w:val="001E6915"/>
    <w:rsid w:val="001F28FB"/>
    <w:rsid w:val="001F4AF5"/>
    <w:rsid w:val="001F68FA"/>
    <w:rsid w:val="001F6B84"/>
    <w:rsid w:val="001F79F3"/>
    <w:rsid w:val="0020231F"/>
    <w:rsid w:val="00205A7E"/>
    <w:rsid w:val="00212D99"/>
    <w:rsid w:val="002130DF"/>
    <w:rsid w:val="002223FC"/>
    <w:rsid w:val="00222B84"/>
    <w:rsid w:val="0022642B"/>
    <w:rsid w:val="00246712"/>
    <w:rsid w:val="002526E5"/>
    <w:rsid w:val="00255B58"/>
    <w:rsid w:val="00257048"/>
    <w:rsid w:val="002607D6"/>
    <w:rsid w:val="0026542A"/>
    <w:rsid w:val="002666A5"/>
    <w:rsid w:val="00266F32"/>
    <w:rsid w:val="00273FF3"/>
    <w:rsid w:val="002779AD"/>
    <w:rsid w:val="0028408B"/>
    <w:rsid w:val="00296EEB"/>
    <w:rsid w:val="002A104A"/>
    <w:rsid w:val="002A2F4B"/>
    <w:rsid w:val="002A3EC7"/>
    <w:rsid w:val="002A64D6"/>
    <w:rsid w:val="002B0358"/>
    <w:rsid w:val="002B2905"/>
    <w:rsid w:val="002B365F"/>
    <w:rsid w:val="002B391A"/>
    <w:rsid w:val="002B58A5"/>
    <w:rsid w:val="002C5BF5"/>
    <w:rsid w:val="002C5EF0"/>
    <w:rsid w:val="002C6A6B"/>
    <w:rsid w:val="002C6F27"/>
    <w:rsid w:val="002D22D4"/>
    <w:rsid w:val="002D7017"/>
    <w:rsid w:val="002D790B"/>
    <w:rsid w:val="002E1D92"/>
    <w:rsid w:val="002E32AD"/>
    <w:rsid w:val="002E393E"/>
    <w:rsid w:val="002E7652"/>
    <w:rsid w:val="002F08DE"/>
    <w:rsid w:val="002F0D04"/>
    <w:rsid w:val="002F113B"/>
    <w:rsid w:val="002F4BB8"/>
    <w:rsid w:val="002F6A95"/>
    <w:rsid w:val="0030651D"/>
    <w:rsid w:val="003116EA"/>
    <w:rsid w:val="003231AD"/>
    <w:rsid w:val="003271DB"/>
    <w:rsid w:val="003335E9"/>
    <w:rsid w:val="00334EE3"/>
    <w:rsid w:val="00337428"/>
    <w:rsid w:val="003436F6"/>
    <w:rsid w:val="00350428"/>
    <w:rsid w:val="00354F86"/>
    <w:rsid w:val="003646C4"/>
    <w:rsid w:val="00365CDA"/>
    <w:rsid w:val="00366977"/>
    <w:rsid w:val="003669CB"/>
    <w:rsid w:val="00371164"/>
    <w:rsid w:val="00371347"/>
    <w:rsid w:val="003713D5"/>
    <w:rsid w:val="00371F6E"/>
    <w:rsid w:val="00372894"/>
    <w:rsid w:val="00375E79"/>
    <w:rsid w:val="00381EEA"/>
    <w:rsid w:val="0039145E"/>
    <w:rsid w:val="00392B17"/>
    <w:rsid w:val="00392B31"/>
    <w:rsid w:val="00396762"/>
    <w:rsid w:val="00397553"/>
    <w:rsid w:val="003A0411"/>
    <w:rsid w:val="003A584C"/>
    <w:rsid w:val="003A6EFB"/>
    <w:rsid w:val="003A740B"/>
    <w:rsid w:val="003A75F2"/>
    <w:rsid w:val="003B0770"/>
    <w:rsid w:val="003B6228"/>
    <w:rsid w:val="003C006D"/>
    <w:rsid w:val="003C09B5"/>
    <w:rsid w:val="003C1505"/>
    <w:rsid w:val="003C5A22"/>
    <w:rsid w:val="003C5EAE"/>
    <w:rsid w:val="003C6E67"/>
    <w:rsid w:val="003C7E1B"/>
    <w:rsid w:val="003E032F"/>
    <w:rsid w:val="003E265A"/>
    <w:rsid w:val="003E5EA0"/>
    <w:rsid w:val="003E770A"/>
    <w:rsid w:val="003F5261"/>
    <w:rsid w:val="00402C73"/>
    <w:rsid w:val="00402DBF"/>
    <w:rsid w:val="0041262D"/>
    <w:rsid w:val="00414A09"/>
    <w:rsid w:val="00416726"/>
    <w:rsid w:val="0041782F"/>
    <w:rsid w:val="00417C12"/>
    <w:rsid w:val="00425BED"/>
    <w:rsid w:val="00426602"/>
    <w:rsid w:val="00430093"/>
    <w:rsid w:val="00431B68"/>
    <w:rsid w:val="00440C99"/>
    <w:rsid w:val="00440F24"/>
    <w:rsid w:val="004412F3"/>
    <w:rsid w:val="00442C6F"/>
    <w:rsid w:val="00442CEF"/>
    <w:rsid w:val="0045350B"/>
    <w:rsid w:val="004541CE"/>
    <w:rsid w:val="00465E99"/>
    <w:rsid w:val="00466D9C"/>
    <w:rsid w:val="004713EF"/>
    <w:rsid w:val="00471497"/>
    <w:rsid w:val="0047298F"/>
    <w:rsid w:val="00473C3D"/>
    <w:rsid w:val="0047408E"/>
    <w:rsid w:val="00477E15"/>
    <w:rsid w:val="00482180"/>
    <w:rsid w:val="0048637A"/>
    <w:rsid w:val="00492EB4"/>
    <w:rsid w:val="00494CD2"/>
    <w:rsid w:val="00496A21"/>
    <w:rsid w:val="00496C76"/>
    <w:rsid w:val="004970D8"/>
    <w:rsid w:val="004A55F1"/>
    <w:rsid w:val="004B0EDA"/>
    <w:rsid w:val="004B23A2"/>
    <w:rsid w:val="004C0654"/>
    <w:rsid w:val="004C4EBB"/>
    <w:rsid w:val="004C7AA8"/>
    <w:rsid w:val="004D0585"/>
    <w:rsid w:val="004D1932"/>
    <w:rsid w:val="004D1E6B"/>
    <w:rsid w:val="004D23DD"/>
    <w:rsid w:val="004D551B"/>
    <w:rsid w:val="004D5D4E"/>
    <w:rsid w:val="004E01C4"/>
    <w:rsid w:val="004F0A56"/>
    <w:rsid w:val="004F1337"/>
    <w:rsid w:val="004F27DF"/>
    <w:rsid w:val="004F7489"/>
    <w:rsid w:val="0050713F"/>
    <w:rsid w:val="00510945"/>
    <w:rsid w:val="00517121"/>
    <w:rsid w:val="0051755B"/>
    <w:rsid w:val="0052289E"/>
    <w:rsid w:val="0053185A"/>
    <w:rsid w:val="005333F0"/>
    <w:rsid w:val="00536C9B"/>
    <w:rsid w:val="00537617"/>
    <w:rsid w:val="00543707"/>
    <w:rsid w:val="00544EA9"/>
    <w:rsid w:val="00545075"/>
    <w:rsid w:val="00551AFA"/>
    <w:rsid w:val="00552A4F"/>
    <w:rsid w:val="00553203"/>
    <w:rsid w:val="00554B5A"/>
    <w:rsid w:val="00563414"/>
    <w:rsid w:val="005641B3"/>
    <w:rsid w:val="00564EE5"/>
    <w:rsid w:val="0056500E"/>
    <w:rsid w:val="00565C49"/>
    <w:rsid w:val="00566438"/>
    <w:rsid w:val="00570959"/>
    <w:rsid w:val="005720EC"/>
    <w:rsid w:val="005754C3"/>
    <w:rsid w:val="00575815"/>
    <w:rsid w:val="00576304"/>
    <w:rsid w:val="00576EA1"/>
    <w:rsid w:val="005773D1"/>
    <w:rsid w:val="00584B5F"/>
    <w:rsid w:val="005856B2"/>
    <w:rsid w:val="005A01DA"/>
    <w:rsid w:val="005B212D"/>
    <w:rsid w:val="005B2B7B"/>
    <w:rsid w:val="005B33C4"/>
    <w:rsid w:val="005B55E4"/>
    <w:rsid w:val="005B560B"/>
    <w:rsid w:val="005B568D"/>
    <w:rsid w:val="005B6E7C"/>
    <w:rsid w:val="005C1FE4"/>
    <w:rsid w:val="005C2910"/>
    <w:rsid w:val="005C6EF0"/>
    <w:rsid w:val="005C79C3"/>
    <w:rsid w:val="005E1830"/>
    <w:rsid w:val="005E3078"/>
    <w:rsid w:val="005E38FA"/>
    <w:rsid w:val="005E3A1D"/>
    <w:rsid w:val="005E5C98"/>
    <w:rsid w:val="005F2B41"/>
    <w:rsid w:val="005F2FE8"/>
    <w:rsid w:val="005F41CA"/>
    <w:rsid w:val="005F5F6C"/>
    <w:rsid w:val="0060237E"/>
    <w:rsid w:val="006023B6"/>
    <w:rsid w:val="00602803"/>
    <w:rsid w:val="00602DDA"/>
    <w:rsid w:val="00603E66"/>
    <w:rsid w:val="0061354C"/>
    <w:rsid w:val="006141F9"/>
    <w:rsid w:val="006152BF"/>
    <w:rsid w:val="00615664"/>
    <w:rsid w:val="00616286"/>
    <w:rsid w:val="00616D2C"/>
    <w:rsid w:val="00617407"/>
    <w:rsid w:val="0062164A"/>
    <w:rsid w:val="00624A02"/>
    <w:rsid w:val="00624A47"/>
    <w:rsid w:val="00626C50"/>
    <w:rsid w:val="00626CD2"/>
    <w:rsid w:val="00626DF9"/>
    <w:rsid w:val="00635833"/>
    <w:rsid w:val="00635A56"/>
    <w:rsid w:val="006504D5"/>
    <w:rsid w:val="006646E4"/>
    <w:rsid w:val="00664DB1"/>
    <w:rsid w:val="00667091"/>
    <w:rsid w:val="006701E7"/>
    <w:rsid w:val="00670FE7"/>
    <w:rsid w:val="006716F5"/>
    <w:rsid w:val="006719DA"/>
    <w:rsid w:val="0067785E"/>
    <w:rsid w:val="006806A9"/>
    <w:rsid w:val="00680B27"/>
    <w:rsid w:val="00681546"/>
    <w:rsid w:val="006833E1"/>
    <w:rsid w:val="006877D5"/>
    <w:rsid w:val="00691F99"/>
    <w:rsid w:val="0069438C"/>
    <w:rsid w:val="00696DE6"/>
    <w:rsid w:val="00697E99"/>
    <w:rsid w:val="006A33FE"/>
    <w:rsid w:val="006A358B"/>
    <w:rsid w:val="006A4178"/>
    <w:rsid w:val="006A581F"/>
    <w:rsid w:val="006A79E8"/>
    <w:rsid w:val="006B0176"/>
    <w:rsid w:val="006B0648"/>
    <w:rsid w:val="006B3BB0"/>
    <w:rsid w:val="006B53FA"/>
    <w:rsid w:val="006B694A"/>
    <w:rsid w:val="006C20E2"/>
    <w:rsid w:val="006C3980"/>
    <w:rsid w:val="006D4F51"/>
    <w:rsid w:val="006D5EBA"/>
    <w:rsid w:val="006F0D87"/>
    <w:rsid w:val="006F576E"/>
    <w:rsid w:val="006F5847"/>
    <w:rsid w:val="00701C9A"/>
    <w:rsid w:val="00702E91"/>
    <w:rsid w:val="00703E7A"/>
    <w:rsid w:val="00704B63"/>
    <w:rsid w:val="00706308"/>
    <w:rsid w:val="00706382"/>
    <w:rsid w:val="00706762"/>
    <w:rsid w:val="007130D3"/>
    <w:rsid w:val="00714843"/>
    <w:rsid w:val="00714FBB"/>
    <w:rsid w:val="00720E5B"/>
    <w:rsid w:val="00721014"/>
    <w:rsid w:val="007226E1"/>
    <w:rsid w:val="00726283"/>
    <w:rsid w:val="00734927"/>
    <w:rsid w:val="00740189"/>
    <w:rsid w:val="0074415C"/>
    <w:rsid w:val="00766015"/>
    <w:rsid w:val="00766ADE"/>
    <w:rsid w:val="00767FC5"/>
    <w:rsid w:val="00775CA1"/>
    <w:rsid w:val="0077648C"/>
    <w:rsid w:val="00782618"/>
    <w:rsid w:val="00783D55"/>
    <w:rsid w:val="00786229"/>
    <w:rsid w:val="007903E4"/>
    <w:rsid w:val="007906E0"/>
    <w:rsid w:val="00790A0C"/>
    <w:rsid w:val="00791545"/>
    <w:rsid w:val="007A0E70"/>
    <w:rsid w:val="007A255B"/>
    <w:rsid w:val="007A6406"/>
    <w:rsid w:val="007B24EC"/>
    <w:rsid w:val="007B6436"/>
    <w:rsid w:val="007B6F15"/>
    <w:rsid w:val="007C10E4"/>
    <w:rsid w:val="007C3091"/>
    <w:rsid w:val="007C4168"/>
    <w:rsid w:val="007C48A1"/>
    <w:rsid w:val="007C63B4"/>
    <w:rsid w:val="007C6F8F"/>
    <w:rsid w:val="007C70ED"/>
    <w:rsid w:val="007C7298"/>
    <w:rsid w:val="007D5A47"/>
    <w:rsid w:val="007F1CB3"/>
    <w:rsid w:val="007F213F"/>
    <w:rsid w:val="007F3400"/>
    <w:rsid w:val="007F37AD"/>
    <w:rsid w:val="007F3D20"/>
    <w:rsid w:val="007F6917"/>
    <w:rsid w:val="00800192"/>
    <w:rsid w:val="0080723A"/>
    <w:rsid w:val="00817AF3"/>
    <w:rsid w:val="00817B70"/>
    <w:rsid w:val="00820686"/>
    <w:rsid w:val="00821FE2"/>
    <w:rsid w:val="008225C9"/>
    <w:rsid w:val="008248BE"/>
    <w:rsid w:val="00824D4A"/>
    <w:rsid w:val="0082643A"/>
    <w:rsid w:val="00832FDC"/>
    <w:rsid w:val="00834A42"/>
    <w:rsid w:val="00834B7F"/>
    <w:rsid w:val="00843133"/>
    <w:rsid w:val="008438F3"/>
    <w:rsid w:val="00843958"/>
    <w:rsid w:val="008461F8"/>
    <w:rsid w:val="00850F35"/>
    <w:rsid w:val="0085278A"/>
    <w:rsid w:val="00857B8B"/>
    <w:rsid w:val="00867881"/>
    <w:rsid w:val="0088306E"/>
    <w:rsid w:val="00883218"/>
    <w:rsid w:val="00890B47"/>
    <w:rsid w:val="00891997"/>
    <w:rsid w:val="00891F18"/>
    <w:rsid w:val="00893870"/>
    <w:rsid w:val="00894DD4"/>
    <w:rsid w:val="00897C83"/>
    <w:rsid w:val="008A326E"/>
    <w:rsid w:val="008A56E7"/>
    <w:rsid w:val="008B6921"/>
    <w:rsid w:val="008C155F"/>
    <w:rsid w:val="008C170C"/>
    <w:rsid w:val="008C205F"/>
    <w:rsid w:val="008D1938"/>
    <w:rsid w:val="008D1C26"/>
    <w:rsid w:val="008D2042"/>
    <w:rsid w:val="008D5865"/>
    <w:rsid w:val="008D766A"/>
    <w:rsid w:val="008D7E75"/>
    <w:rsid w:val="008E19C7"/>
    <w:rsid w:val="008E2340"/>
    <w:rsid w:val="008F2F9D"/>
    <w:rsid w:val="008F51DC"/>
    <w:rsid w:val="008F7555"/>
    <w:rsid w:val="00902F5A"/>
    <w:rsid w:val="00910009"/>
    <w:rsid w:val="0092196E"/>
    <w:rsid w:val="00927C53"/>
    <w:rsid w:val="00930D20"/>
    <w:rsid w:val="009361A4"/>
    <w:rsid w:val="00936F6A"/>
    <w:rsid w:val="009376F5"/>
    <w:rsid w:val="00940306"/>
    <w:rsid w:val="0095307C"/>
    <w:rsid w:val="009559D8"/>
    <w:rsid w:val="00960BE4"/>
    <w:rsid w:val="00961631"/>
    <w:rsid w:val="00965151"/>
    <w:rsid w:val="009653EE"/>
    <w:rsid w:val="00971BBE"/>
    <w:rsid w:val="009728FC"/>
    <w:rsid w:val="009804A1"/>
    <w:rsid w:val="00980C11"/>
    <w:rsid w:val="00982489"/>
    <w:rsid w:val="00990A69"/>
    <w:rsid w:val="0099123D"/>
    <w:rsid w:val="00993D06"/>
    <w:rsid w:val="00995A63"/>
    <w:rsid w:val="009A47E6"/>
    <w:rsid w:val="009A6FD4"/>
    <w:rsid w:val="009A7D4D"/>
    <w:rsid w:val="009B1120"/>
    <w:rsid w:val="009B2502"/>
    <w:rsid w:val="009B6EA3"/>
    <w:rsid w:val="009C3702"/>
    <w:rsid w:val="009C7FE5"/>
    <w:rsid w:val="009D09F1"/>
    <w:rsid w:val="009D2ADF"/>
    <w:rsid w:val="009D41DE"/>
    <w:rsid w:val="009D4DD6"/>
    <w:rsid w:val="009D4F7D"/>
    <w:rsid w:val="009E174B"/>
    <w:rsid w:val="009E3D5B"/>
    <w:rsid w:val="009E7475"/>
    <w:rsid w:val="009E7E02"/>
    <w:rsid w:val="009F152A"/>
    <w:rsid w:val="009F589F"/>
    <w:rsid w:val="00A011B6"/>
    <w:rsid w:val="00A0345A"/>
    <w:rsid w:val="00A05C65"/>
    <w:rsid w:val="00A06CB1"/>
    <w:rsid w:val="00A10F21"/>
    <w:rsid w:val="00A1188F"/>
    <w:rsid w:val="00A1289D"/>
    <w:rsid w:val="00A16353"/>
    <w:rsid w:val="00A21CF0"/>
    <w:rsid w:val="00A2393E"/>
    <w:rsid w:val="00A31318"/>
    <w:rsid w:val="00A351D1"/>
    <w:rsid w:val="00A359CE"/>
    <w:rsid w:val="00A41262"/>
    <w:rsid w:val="00A4235D"/>
    <w:rsid w:val="00A427A8"/>
    <w:rsid w:val="00A429E5"/>
    <w:rsid w:val="00A44FD7"/>
    <w:rsid w:val="00A530DC"/>
    <w:rsid w:val="00A562CC"/>
    <w:rsid w:val="00A563F3"/>
    <w:rsid w:val="00A57727"/>
    <w:rsid w:val="00A60516"/>
    <w:rsid w:val="00A62AB7"/>
    <w:rsid w:val="00A62CC3"/>
    <w:rsid w:val="00A64904"/>
    <w:rsid w:val="00A659CD"/>
    <w:rsid w:val="00A6636E"/>
    <w:rsid w:val="00A72AE0"/>
    <w:rsid w:val="00A73EFF"/>
    <w:rsid w:val="00A7750F"/>
    <w:rsid w:val="00A8188F"/>
    <w:rsid w:val="00A82D34"/>
    <w:rsid w:val="00A82D72"/>
    <w:rsid w:val="00A83542"/>
    <w:rsid w:val="00A85998"/>
    <w:rsid w:val="00A90F71"/>
    <w:rsid w:val="00A94400"/>
    <w:rsid w:val="00A95F88"/>
    <w:rsid w:val="00AA0AD2"/>
    <w:rsid w:val="00AA0DCC"/>
    <w:rsid w:val="00AA3D9F"/>
    <w:rsid w:val="00AC2F4C"/>
    <w:rsid w:val="00AC3224"/>
    <w:rsid w:val="00AC7613"/>
    <w:rsid w:val="00AD0351"/>
    <w:rsid w:val="00AD2945"/>
    <w:rsid w:val="00AD5411"/>
    <w:rsid w:val="00AD6E07"/>
    <w:rsid w:val="00AE6B9E"/>
    <w:rsid w:val="00AF14A4"/>
    <w:rsid w:val="00AF1AF5"/>
    <w:rsid w:val="00AF5C99"/>
    <w:rsid w:val="00AF644D"/>
    <w:rsid w:val="00AF6F5F"/>
    <w:rsid w:val="00B023BC"/>
    <w:rsid w:val="00B0288D"/>
    <w:rsid w:val="00B03E72"/>
    <w:rsid w:val="00B048E2"/>
    <w:rsid w:val="00B10321"/>
    <w:rsid w:val="00B10327"/>
    <w:rsid w:val="00B1053A"/>
    <w:rsid w:val="00B132AF"/>
    <w:rsid w:val="00B1360F"/>
    <w:rsid w:val="00B13EA1"/>
    <w:rsid w:val="00B21552"/>
    <w:rsid w:val="00B22431"/>
    <w:rsid w:val="00B237FA"/>
    <w:rsid w:val="00B24651"/>
    <w:rsid w:val="00B35184"/>
    <w:rsid w:val="00B36516"/>
    <w:rsid w:val="00B5350C"/>
    <w:rsid w:val="00B56420"/>
    <w:rsid w:val="00B60183"/>
    <w:rsid w:val="00B60725"/>
    <w:rsid w:val="00B6195D"/>
    <w:rsid w:val="00B61FE6"/>
    <w:rsid w:val="00B62490"/>
    <w:rsid w:val="00B643D6"/>
    <w:rsid w:val="00B67FD1"/>
    <w:rsid w:val="00B71E2D"/>
    <w:rsid w:val="00B74629"/>
    <w:rsid w:val="00B757BF"/>
    <w:rsid w:val="00B80789"/>
    <w:rsid w:val="00B81A4B"/>
    <w:rsid w:val="00B841B8"/>
    <w:rsid w:val="00B853C6"/>
    <w:rsid w:val="00B942D0"/>
    <w:rsid w:val="00B96A9B"/>
    <w:rsid w:val="00BA71E3"/>
    <w:rsid w:val="00BC4F5F"/>
    <w:rsid w:val="00BC6974"/>
    <w:rsid w:val="00BD4255"/>
    <w:rsid w:val="00BD51BE"/>
    <w:rsid w:val="00BE331A"/>
    <w:rsid w:val="00BE411E"/>
    <w:rsid w:val="00BF374E"/>
    <w:rsid w:val="00C10A9B"/>
    <w:rsid w:val="00C1659B"/>
    <w:rsid w:val="00C30BD6"/>
    <w:rsid w:val="00C33581"/>
    <w:rsid w:val="00C41EE3"/>
    <w:rsid w:val="00C45CB8"/>
    <w:rsid w:val="00C52163"/>
    <w:rsid w:val="00C52A12"/>
    <w:rsid w:val="00C53FB3"/>
    <w:rsid w:val="00C5492D"/>
    <w:rsid w:val="00C549AB"/>
    <w:rsid w:val="00C553CF"/>
    <w:rsid w:val="00C566BF"/>
    <w:rsid w:val="00C60D25"/>
    <w:rsid w:val="00C63757"/>
    <w:rsid w:val="00C63C9D"/>
    <w:rsid w:val="00C64C6B"/>
    <w:rsid w:val="00C712A0"/>
    <w:rsid w:val="00C72012"/>
    <w:rsid w:val="00C72439"/>
    <w:rsid w:val="00C77376"/>
    <w:rsid w:val="00C81CE2"/>
    <w:rsid w:val="00C834CD"/>
    <w:rsid w:val="00C869CA"/>
    <w:rsid w:val="00C944A6"/>
    <w:rsid w:val="00C95393"/>
    <w:rsid w:val="00CA00D2"/>
    <w:rsid w:val="00CA1B98"/>
    <w:rsid w:val="00CA42B9"/>
    <w:rsid w:val="00CA65E6"/>
    <w:rsid w:val="00CA7A96"/>
    <w:rsid w:val="00CB060F"/>
    <w:rsid w:val="00CB3FFA"/>
    <w:rsid w:val="00CB4788"/>
    <w:rsid w:val="00CB613F"/>
    <w:rsid w:val="00CB7B98"/>
    <w:rsid w:val="00CC40E4"/>
    <w:rsid w:val="00CC444E"/>
    <w:rsid w:val="00CC451E"/>
    <w:rsid w:val="00CC46E8"/>
    <w:rsid w:val="00CC4A37"/>
    <w:rsid w:val="00CD15D1"/>
    <w:rsid w:val="00CD38DC"/>
    <w:rsid w:val="00CD3933"/>
    <w:rsid w:val="00CE25EF"/>
    <w:rsid w:val="00CE5ED7"/>
    <w:rsid w:val="00CE608F"/>
    <w:rsid w:val="00CE662B"/>
    <w:rsid w:val="00CF1C05"/>
    <w:rsid w:val="00CF25DB"/>
    <w:rsid w:val="00CF381C"/>
    <w:rsid w:val="00CF4573"/>
    <w:rsid w:val="00D00C63"/>
    <w:rsid w:val="00D03573"/>
    <w:rsid w:val="00D0666D"/>
    <w:rsid w:val="00D07A60"/>
    <w:rsid w:val="00D148CE"/>
    <w:rsid w:val="00D21606"/>
    <w:rsid w:val="00D25C5B"/>
    <w:rsid w:val="00D40146"/>
    <w:rsid w:val="00D404BB"/>
    <w:rsid w:val="00D4058A"/>
    <w:rsid w:val="00D4328B"/>
    <w:rsid w:val="00D43749"/>
    <w:rsid w:val="00D470B2"/>
    <w:rsid w:val="00D55E5C"/>
    <w:rsid w:val="00D5642B"/>
    <w:rsid w:val="00D5776F"/>
    <w:rsid w:val="00D6206D"/>
    <w:rsid w:val="00D6353A"/>
    <w:rsid w:val="00D63663"/>
    <w:rsid w:val="00D64333"/>
    <w:rsid w:val="00D702D6"/>
    <w:rsid w:val="00D711C6"/>
    <w:rsid w:val="00D72C7E"/>
    <w:rsid w:val="00D77E18"/>
    <w:rsid w:val="00D85345"/>
    <w:rsid w:val="00D91E09"/>
    <w:rsid w:val="00DA1DBF"/>
    <w:rsid w:val="00DA4341"/>
    <w:rsid w:val="00DB1E20"/>
    <w:rsid w:val="00DB4495"/>
    <w:rsid w:val="00DB5B96"/>
    <w:rsid w:val="00DB5E99"/>
    <w:rsid w:val="00DC35DE"/>
    <w:rsid w:val="00DC4EA0"/>
    <w:rsid w:val="00DC664B"/>
    <w:rsid w:val="00DC6D7C"/>
    <w:rsid w:val="00DD1D8A"/>
    <w:rsid w:val="00DD5420"/>
    <w:rsid w:val="00DD72A0"/>
    <w:rsid w:val="00DE073B"/>
    <w:rsid w:val="00DE26FB"/>
    <w:rsid w:val="00DE5E77"/>
    <w:rsid w:val="00DF0670"/>
    <w:rsid w:val="00E037A2"/>
    <w:rsid w:val="00E04E8B"/>
    <w:rsid w:val="00E1361F"/>
    <w:rsid w:val="00E13EAA"/>
    <w:rsid w:val="00E171D5"/>
    <w:rsid w:val="00E205FA"/>
    <w:rsid w:val="00E241B3"/>
    <w:rsid w:val="00E26DE5"/>
    <w:rsid w:val="00E26F71"/>
    <w:rsid w:val="00E27192"/>
    <w:rsid w:val="00E341AE"/>
    <w:rsid w:val="00E35500"/>
    <w:rsid w:val="00E368E4"/>
    <w:rsid w:val="00E3690F"/>
    <w:rsid w:val="00E45C0F"/>
    <w:rsid w:val="00E54F42"/>
    <w:rsid w:val="00E56419"/>
    <w:rsid w:val="00E56C23"/>
    <w:rsid w:val="00E62868"/>
    <w:rsid w:val="00E73D86"/>
    <w:rsid w:val="00E812BE"/>
    <w:rsid w:val="00E8136E"/>
    <w:rsid w:val="00E82797"/>
    <w:rsid w:val="00E91313"/>
    <w:rsid w:val="00E93C3B"/>
    <w:rsid w:val="00E93D92"/>
    <w:rsid w:val="00E95B38"/>
    <w:rsid w:val="00EA0311"/>
    <w:rsid w:val="00EA2537"/>
    <w:rsid w:val="00EA2C25"/>
    <w:rsid w:val="00EB035E"/>
    <w:rsid w:val="00EB1DCC"/>
    <w:rsid w:val="00EB628A"/>
    <w:rsid w:val="00EB7813"/>
    <w:rsid w:val="00EC04B9"/>
    <w:rsid w:val="00EC05FE"/>
    <w:rsid w:val="00EC127B"/>
    <w:rsid w:val="00EC17F7"/>
    <w:rsid w:val="00EC50E1"/>
    <w:rsid w:val="00EC55AF"/>
    <w:rsid w:val="00ED24AD"/>
    <w:rsid w:val="00ED45A7"/>
    <w:rsid w:val="00ED5501"/>
    <w:rsid w:val="00ED6F29"/>
    <w:rsid w:val="00EE084C"/>
    <w:rsid w:val="00EF2504"/>
    <w:rsid w:val="00EF593A"/>
    <w:rsid w:val="00EF75FF"/>
    <w:rsid w:val="00F024BF"/>
    <w:rsid w:val="00F1182F"/>
    <w:rsid w:val="00F1224D"/>
    <w:rsid w:val="00F14C67"/>
    <w:rsid w:val="00F1532A"/>
    <w:rsid w:val="00F20713"/>
    <w:rsid w:val="00F24BC3"/>
    <w:rsid w:val="00F3085A"/>
    <w:rsid w:val="00F43994"/>
    <w:rsid w:val="00F4549A"/>
    <w:rsid w:val="00F51943"/>
    <w:rsid w:val="00F52C25"/>
    <w:rsid w:val="00F5534F"/>
    <w:rsid w:val="00F553A3"/>
    <w:rsid w:val="00F619B5"/>
    <w:rsid w:val="00F61D2B"/>
    <w:rsid w:val="00F67612"/>
    <w:rsid w:val="00F7088D"/>
    <w:rsid w:val="00F71483"/>
    <w:rsid w:val="00F72E47"/>
    <w:rsid w:val="00F81BC1"/>
    <w:rsid w:val="00F83645"/>
    <w:rsid w:val="00F839BD"/>
    <w:rsid w:val="00F87EE5"/>
    <w:rsid w:val="00F93E32"/>
    <w:rsid w:val="00FA4990"/>
    <w:rsid w:val="00FA49CE"/>
    <w:rsid w:val="00FA6FB4"/>
    <w:rsid w:val="00FA77B4"/>
    <w:rsid w:val="00FB0FCF"/>
    <w:rsid w:val="00FB7D35"/>
    <w:rsid w:val="00FC175A"/>
    <w:rsid w:val="00FC43B3"/>
    <w:rsid w:val="00FC44B5"/>
    <w:rsid w:val="00FD1EE7"/>
    <w:rsid w:val="00FD3651"/>
    <w:rsid w:val="00FD4F04"/>
    <w:rsid w:val="00FE0C57"/>
    <w:rsid w:val="00FE14A4"/>
    <w:rsid w:val="00FE1CD6"/>
    <w:rsid w:val="00FE2886"/>
    <w:rsid w:val="00FE2B75"/>
    <w:rsid w:val="00FE6CFE"/>
    <w:rsid w:val="07BF09C2"/>
    <w:rsid w:val="08E6008C"/>
    <w:rsid w:val="0D794E03"/>
    <w:rsid w:val="128E0F0F"/>
    <w:rsid w:val="14075285"/>
    <w:rsid w:val="16CA723F"/>
    <w:rsid w:val="190537E9"/>
    <w:rsid w:val="1A772B99"/>
    <w:rsid w:val="1E7F07B9"/>
    <w:rsid w:val="304A1F16"/>
    <w:rsid w:val="36054D51"/>
    <w:rsid w:val="3C2D6F21"/>
    <w:rsid w:val="52B374EB"/>
    <w:rsid w:val="5343042D"/>
    <w:rsid w:val="537F4736"/>
    <w:rsid w:val="5B282CD9"/>
    <w:rsid w:val="5BAE3786"/>
    <w:rsid w:val="66773AB7"/>
    <w:rsid w:val="6B285BDD"/>
    <w:rsid w:val="6DB7675B"/>
    <w:rsid w:val="705428A9"/>
    <w:rsid w:val="709617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unhideWhenUsed/>
    <w:qFormat/>
    <w:uiPriority w:val="99"/>
    <w:pPr>
      <w:jc w:val="left"/>
    </w:pPr>
  </w:style>
  <w:style w:type="paragraph" w:styleId="4">
    <w:name w:val="Balloon Text"/>
    <w:basedOn w:val="1"/>
    <w:link w:val="19"/>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3"/>
    <w:next w:val="3"/>
    <w:link w:val="18"/>
    <w:semiHidden/>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semiHidden/>
    <w:unhideWhenUsed/>
    <w:qFormat/>
    <w:uiPriority w:val="99"/>
    <w:rPr>
      <w:sz w:val="21"/>
      <w:szCs w:val="21"/>
    </w:rPr>
  </w:style>
  <w:style w:type="character" w:customStyle="1" w:styleId="13">
    <w:name w:val="页眉 字符"/>
    <w:basedOn w:val="11"/>
    <w:link w:val="6"/>
    <w:qFormat/>
    <w:uiPriority w:val="99"/>
    <w:rPr>
      <w:sz w:val="18"/>
      <w:szCs w:val="18"/>
    </w:rPr>
  </w:style>
  <w:style w:type="character" w:customStyle="1" w:styleId="14">
    <w:name w:val="页脚 字符"/>
    <w:basedOn w:val="11"/>
    <w:link w:val="5"/>
    <w:qFormat/>
    <w:uiPriority w:val="99"/>
    <w:rPr>
      <w:sz w:val="18"/>
      <w:szCs w:val="18"/>
    </w:rPr>
  </w:style>
  <w:style w:type="character" w:customStyle="1" w:styleId="15">
    <w:name w:val="标题 2 字符"/>
    <w:basedOn w:val="11"/>
    <w:link w:val="2"/>
    <w:qFormat/>
    <w:uiPriority w:val="9"/>
    <w:rPr>
      <w:rFonts w:ascii="宋体" w:hAnsi="宋体" w:eastAsia="宋体" w:cs="宋体"/>
      <w:b/>
      <w:bCs/>
      <w:kern w:val="0"/>
      <w:sz w:val="36"/>
      <w:szCs w:val="36"/>
    </w:rPr>
  </w:style>
  <w:style w:type="paragraph" w:styleId="16">
    <w:name w:val="List Paragraph"/>
    <w:basedOn w:val="1"/>
    <w:qFormat/>
    <w:uiPriority w:val="34"/>
    <w:pPr>
      <w:ind w:firstLine="420" w:firstLineChars="200"/>
    </w:pPr>
  </w:style>
  <w:style w:type="character" w:customStyle="1" w:styleId="17">
    <w:name w:val="批注文字 字符"/>
    <w:basedOn w:val="11"/>
    <w:link w:val="3"/>
    <w:qFormat/>
    <w:uiPriority w:val="99"/>
  </w:style>
  <w:style w:type="character" w:customStyle="1" w:styleId="18">
    <w:name w:val="批注主题 字符"/>
    <w:basedOn w:val="17"/>
    <w:link w:val="8"/>
    <w:semiHidden/>
    <w:qFormat/>
    <w:uiPriority w:val="99"/>
    <w:rPr>
      <w:b/>
      <w:bCs/>
    </w:rPr>
  </w:style>
  <w:style w:type="character" w:customStyle="1" w:styleId="19">
    <w:name w:val="批注框文本 字符"/>
    <w:basedOn w:val="11"/>
    <w:link w:val="4"/>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02B45-893E-4F7D-9F96-7F4D8CBCAF80}">
  <ds:schemaRefs/>
</ds:datastoreItem>
</file>

<file path=docProps/app.xml><?xml version="1.0" encoding="utf-8"?>
<Properties xmlns="http://schemas.openxmlformats.org/officeDocument/2006/extended-properties" xmlns:vt="http://schemas.openxmlformats.org/officeDocument/2006/docPropsVTypes">
  <Template>Normal</Template>
  <Pages>3</Pages>
  <Words>1080</Words>
  <Characters>1196</Characters>
  <Lines>15</Lines>
  <Paragraphs>4</Paragraphs>
  <TotalTime>15</TotalTime>
  <ScaleCrop>false</ScaleCrop>
  <LinksUpToDate>false</LinksUpToDate>
  <CharactersWithSpaces>1196</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2022-12-20T01:39:00Z</dcterms:created>
  <dc:creator>张佩</dc:creator>
  <cp:lastModifiedBy>Easter Yu</cp:lastModifiedBy>
  <cp:lastPrinted>2022-09-19T02:47:00Z</cp:lastPrinted>
  <dcterms:modified xsi:type="dcterms:W3CDTF">2026-08-03T08:09:19Z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DFE188390E8E45448341DA6CF4880071_13</vt:lpwstr>
  </property>
  <property fmtid="{D5CDD505-2E9C-101B-9397-08002B2CF9AE}" pid="4" name="KSOTemplateDocerSaveRecord">
    <vt:lpwstr>eyJoZGlkIjoiZGM3ZmNkNDM3MzViNDcxMDNlNzE4MzQ3YTJmMGM3MDIifQ==</vt:lpwstr>
  </property>
</Properties>
</file>