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w:t>
      </w:r>
      <w:r>
        <w:rPr>
          <w:rFonts w:hint="eastAsia" w:ascii="彩虹粗仿宋" w:hAnsi="彩虹粗仿宋" w:eastAsia="彩虹粗仿宋" w:cs="彩虹粗仿宋"/>
          <w:b w:val="0"/>
          <w:bCs/>
          <w:sz w:val="36"/>
          <w:szCs w:val="36"/>
          <w:lang w:val="en-US" w:eastAsia="zh-CN"/>
        </w:rPr>
        <w:t>部分产品</w:t>
      </w:r>
      <w:r>
        <w:rPr>
          <w:rFonts w:hint="eastAsia" w:ascii="彩虹粗仿宋" w:hAnsi="彩虹粗仿宋" w:eastAsia="彩虹粗仿宋" w:cs="彩虹粗仿宋"/>
          <w:b w:val="0"/>
          <w:bCs/>
          <w:sz w:val="36"/>
          <w:szCs w:val="36"/>
        </w:rPr>
        <w:t>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hint="eastAsia"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p w14:paraId="30911B74">
      <w:pPr>
        <w:pStyle w:val="4"/>
        <w:snapToGrid w:val="0"/>
        <w:spacing w:line="360" w:lineRule="auto"/>
        <w:ind w:firstLine="640" w:firstLineChars="200"/>
        <w:rPr>
          <w:rFonts w:hint="default" w:ascii="彩虹粗仿宋" w:hAnsi="微软雅黑" w:eastAsia="彩虹粗仿宋"/>
          <w:color w:val="333333"/>
          <w:sz w:val="32"/>
          <w:szCs w:val="32"/>
          <w:lang w:val="en-US" w:eastAsia="zh-CN"/>
        </w:rPr>
      </w:pPr>
      <w:r>
        <w:rPr>
          <w:rFonts w:hint="eastAsia" w:ascii="彩虹粗仿宋" w:hAnsi="微软雅黑" w:eastAsia="彩虹粗仿宋"/>
          <w:color w:val="333333"/>
          <w:sz w:val="32"/>
          <w:szCs w:val="32"/>
          <w:lang w:val="en-US" w:eastAsia="zh-CN"/>
        </w:rPr>
        <w:t>一、管理费率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7"/>
        <w:gridCol w:w="2018"/>
        <w:gridCol w:w="846"/>
        <w:gridCol w:w="850"/>
        <w:gridCol w:w="1638"/>
        <w:gridCol w:w="1815"/>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3"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1"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17"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885"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81" w:type="pct"/>
            <w:vMerge w:val="restart"/>
            <w:vAlign w:val="center"/>
          </w:tcPr>
          <w:p w14:paraId="453DC59A">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3" w:type="pct"/>
            <w:vMerge w:val="continue"/>
            <w:vAlign w:val="center"/>
          </w:tcPr>
          <w:p w14:paraId="4CF2CB2E">
            <w:pPr>
              <w:autoSpaceDE w:val="0"/>
              <w:autoSpaceDN w:val="0"/>
              <w:adjustRightInd w:val="0"/>
              <w:jc w:val="center"/>
            </w:pPr>
          </w:p>
        </w:tc>
        <w:tc>
          <w:tcPr>
            <w:tcW w:w="1091" w:type="pct"/>
            <w:vMerge w:val="continue"/>
            <w:vAlign w:val="center"/>
          </w:tcPr>
          <w:p w14:paraId="6B3E051E">
            <w:pPr>
              <w:autoSpaceDE w:val="0"/>
              <w:autoSpaceDN w:val="0"/>
              <w:adjustRightInd w:val="0"/>
              <w:jc w:val="center"/>
            </w:pPr>
          </w:p>
        </w:tc>
        <w:tc>
          <w:tcPr>
            <w:tcW w:w="457"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59"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85" w:type="pct"/>
            <w:vMerge w:val="continue"/>
            <w:vAlign w:val="center"/>
          </w:tcPr>
          <w:p w14:paraId="5FCB56AC">
            <w:pPr>
              <w:autoSpaceDE w:val="0"/>
              <w:autoSpaceDN w:val="0"/>
              <w:adjustRightInd w:val="0"/>
              <w:jc w:val="center"/>
              <w:rPr>
                <w:rFonts w:ascii="彩虹粗仿宋" w:eastAsia="彩虹粗仿宋"/>
                <w:szCs w:val="21"/>
              </w:rPr>
            </w:pPr>
          </w:p>
        </w:tc>
        <w:tc>
          <w:tcPr>
            <w:tcW w:w="981" w:type="pct"/>
            <w:vMerge w:val="continue"/>
            <w:vAlign w:val="center"/>
          </w:tcPr>
          <w:p w14:paraId="1C7A8254">
            <w:pPr>
              <w:autoSpaceDE w:val="0"/>
              <w:autoSpaceDN w:val="0"/>
              <w:adjustRightInd w:val="0"/>
              <w:jc w:val="center"/>
              <w:rPr>
                <w:rFonts w:ascii="彩虹粗仿宋" w:eastAsia="彩虹粗仿宋"/>
                <w:szCs w:val="21"/>
              </w:rPr>
            </w:pPr>
          </w:p>
        </w:tc>
      </w:tr>
      <w:tr w14:paraId="4A4A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pct"/>
            <w:vAlign w:val="center"/>
          </w:tcPr>
          <w:p w14:paraId="788CAD27">
            <w:pPr>
              <w:keepNext w:val="0"/>
              <w:keepLines w:val="0"/>
              <w:widowControl/>
              <w:suppressLineNumbers w:val="0"/>
              <w:jc w:val="center"/>
              <w:textAlignment w:val="center"/>
              <w:rPr>
                <w:rFonts w:hint="eastAsia" w:ascii="彩虹粗仿宋" w:eastAsia="彩虹粗仿宋"/>
                <w:sz w:val="21"/>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建信理财嘉鑫（稳利）固收类按日开放式产品第113期</w:t>
            </w:r>
          </w:p>
        </w:tc>
        <w:tc>
          <w:tcPr>
            <w:tcW w:w="1091" w:type="pct"/>
            <w:vAlign w:val="center"/>
          </w:tcPr>
          <w:p w14:paraId="622B8871">
            <w:pPr>
              <w:keepNext w:val="0"/>
              <w:keepLines w:val="0"/>
              <w:widowControl/>
              <w:suppressLineNumbers w:val="0"/>
              <w:jc w:val="center"/>
              <w:textAlignment w:val="center"/>
              <w:rPr>
                <w:rFonts w:ascii="彩虹粗仿宋" w:eastAsia="彩虹粗仿宋"/>
                <w:sz w:val="21"/>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Z7000726001329</w:t>
            </w:r>
          </w:p>
        </w:tc>
        <w:tc>
          <w:tcPr>
            <w:tcW w:w="457" w:type="pct"/>
            <w:vAlign w:val="center"/>
          </w:tcPr>
          <w:p w14:paraId="66E938AB">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0.2%</w:t>
            </w:r>
          </w:p>
        </w:tc>
        <w:tc>
          <w:tcPr>
            <w:tcW w:w="459" w:type="pct"/>
            <w:vAlign w:val="center"/>
          </w:tcPr>
          <w:p w14:paraId="28E0500C">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0.1%</w:t>
            </w:r>
          </w:p>
        </w:tc>
        <w:tc>
          <w:tcPr>
            <w:tcW w:w="885" w:type="pct"/>
            <w:vAlign w:val="center"/>
          </w:tcPr>
          <w:p w14:paraId="4E4EF5E2">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11</w:t>
            </w:r>
            <w:r>
              <w:rPr>
                <w:rFonts w:hint="eastAsia" w:ascii="彩虹粗仿宋" w:eastAsia="彩虹粗仿宋"/>
                <w:szCs w:val="21"/>
                <w:highlight w:val="none"/>
              </w:rPr>
              <w:t>日</w:t>
            </w:r>
          </w:p>
        </w:tc>
        <w:tc>
          <w:tcPr>
            <w:tcW w:w="981" w:type="pct"/>
            <w:vAlign w:val="center"/>
          </w:tcPr>
          <w:p w14:paraId="15621E40">
            <w:pPr>
              <w:autoSpaceDE w:val="0"/>
              <w:autoSpaceDN w:val="0"/>
              <w:adjustRightInd w:val="0"/>
              <w:jc w:val="center"/>
              <w:rPr>
                <w:rFonts w:hint="eastAsia" w:ascii="彩虹粗仿宋" w:eastAsia="彩虹粗仿宋"/>
                <w:szCs w:val="21"/>
                <w:lang w:val="en-US" w:eastAsia="zh-CN"/>
              </w:rPr>
            </w:pPr>
            <w:r>
              <w:rPr>
                <w:rFonts w:hint="eastAsia" w:ascii="彩虹粗仿宋" w:eastAsia="彩虹粗仿宋"/>
                <w:szCs w:val="21"/>
              </w:rPr>
              <w:t>2026</w:t>
            </w:r>
            <w:r>
              <w:rPr>
                <w:rFonts w:hint="eastAsia" w:ascii="彩虹粗仿宋" w:eastAsia="彩虹粗仿宋"/>
                <w:szCs w:val="21"/>
                <w:lang w:val="en-US" w:eastAsia="zh-CN"/>
              </w:rPr>
              <w:t>年11月11日</w:t>
            </w:r>
          </w:p>
        </w:tc>
      </w:tr>
      <w:tr w14:paraId="672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pct"/>
            <w:vAlign w:val="center"/>
          </w:tcPr>
          <w:p w14:paraId="1B25546C">
            <w:pPr>
              <w:keepNext w:val="0"/>
              <w:keepLines w:val="0"/>
              <w:widowControl/>
              <w:suppressLineNumbers w:val="0"/>
              <w:jc w:val="center"/>
              <w:textAlignment w:val="center"/>
              <w:rPr>
                <w:rFonts w:hint="eastAsia" w:ascii="彩虹粗仿宋" w:eastAsia="彩虹粗仿宋"/>
                <w:sz w:val="21"/>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建信理财嘉鑫（稳利）固收类按日开放式产品第115期</w:t>
            </w:r>
          </w:p>
        </w:tc>
        <w:tc>
          <w:tcPr>
            <w:tcW w:w="1091" w:type="pct"/>
            <w:vAlign w:val="center"/>
          </w:tcPr>
          <w:p w14:paraId="2ECD28E8">
            <w:pPr>
              <w:keepNext w:val="0"/>
              <w:keepLines w:val="0"/>
              <w:widowControl/>
              <w:suppressLineNumbers w:val="0"/>
              <w:jc w:val="center"/>
              <w:textAlignment w:val="center"/>
              <w:rPr>
                <w:rFonts w:hint="eastAsia" w:ascii="彩虹粗仿宋" w:eastAsia="彩虹粗仿宋"/>
                <w:sz w:val="21"/>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Z7000726001293</w:t>
            </w:r>
          </w:p>
        </w:tc>
        <w:tc>
          <w:tcPr>
            <w:tcW w:w="457" w:type="pct"/>
            <w:vAlign w:val="center"/>
          </w:tcPr>
          <w:p w14:paraId="4B997DC9">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0.2%</w:t>
            </w:r>
          </w:p>
        </w:tc>
        <w:tc>
          <w:tcPr>
            <w:tcW w:w="459" w:type="pct"/>
            <w:vAlign w:val="center"/>
          </w:tcPr>
          <w:p w14:paraId="40B552CB">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w:t>
            </w:r>
          </w:p>
        </w:tc>
        <w:tc>
          <w:tcPr>
            <w:tcW w:w="1638" w:type="dxa"/>
            <w:vAlign w:val="center"/>
          </w:tcPr>
          <w:p w14:paraId="707210CA">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11</w:t>
            </w:r>
            <w:r>
              <w:rPr>
                <w:rFonts w:hint="eastAsia" w:ascii="彩虹粗仿宋" w:eastAsia="彩虹粗仿宋"/>
                <w:szCs w:val="21"/>
                <w:highlight w:val="none"/>
              </w:rPr>
              <w:t>日</w:t>
            </w:r>
          </w:p>
        </w:tc>
        <w:tc>
          <w:tcPr>
            <w:tcW w:w="1815" w:type="dxa"/>
            <w:vAlign w:val="center"/>
          </w:tcPr>
          <w:p w14:paraId="6BDBF1A8">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年11月11日</w:t>
            </w:r>
          </w:p>
        </w:tc>
      </w:tr>
      <w:tr w14:paraId="30E3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pct"/>
            <w:vAlign w:val="center"/>
          </w:tcPr>
          <w:p w14:paraId="5E2B8575">
            <w:pPr>
              <w:keepNext w:val="0"/>
              <w:keepLines w:val="0"/>
              <w:widowControl/>
              <w:suppressLineNumbers w:val="0"/>
              <w:jc w:val="center"/>
              <w:textAlignment w:val="center"/>
              <w:rPr>
                <w:rFonts w:hint="eastAsia" w:ascii="彩虹粗仿宋" w:eastAsia="彩虹粗仿宋"/>
                <w:sz w:val="21"/>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建信理财嘉鑫（稳利）固收类按日开放式产品第137期</w:t>
            </w:r>
          </w:p>
        </w:tc>
        <w:tc>
          <w:tcPr>
            <w:tcW w:w="1091" w:type="pct"/>
            <w:vAlign w:val="center"/>
          </w:tcPr>
          <w:p w14:paraId="52E53FD6">
            <w:pPr>
              <w:keepNext w:val="0"/>
              <w:keepLines w:val="0"/>
              <w:widowControl/>
              <w:suppressLineNumbers w:val="0"/>
              <w:jc w:val="center"/>
              <w:textAlignment w:val="center"/>
              <w:rPr>
                <w:rFonts w:hint="eastAsia" w:ascii="彩虹粗仿宋" w:eastAsia="彩虹粗仿宋"/>
                <w:sz w:val="21"/>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Z7000726001915</w:t>
            </w:r>
          </w:p>
        </w:tc>
        <w:tc>
          <w:tcPr>
            <w:tcW w:w="457" w:type="pct"/>
            <w:vAlign w:val="center"/>
          </w:tcPr>
          <w:p w14:paraId="5A1FE2C3">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0.2%</w:t>
            </w:r>
          </w:p>
        </w:tc>
        <w:tc>
          <w:tcPr>
            <w:tcW w:w="459" w:type="pct"/>
            <w:vAlign w:val="center"/>
          </w:tcPr>
          <w:p w14:paraId="36952519">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w:t>
            </w:r>
          </w:p>
        </w:tc>
        <w:tc>
          <w:tcPr>
            <w:tcW w:w="1638" w:type="dxa"/>
            <w:vAlign w:val="center"/>
          </w:tcPr>
          <w:p w14:paraId="1DFC6AC8">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11</w:t>
            </w:r>
            <w:r>
              <w:rPr>
                <w:rFonts w:hint="eastAsia" w:ascii="彩虹粗仿宋" w:eastAsia="彩虹粗仿宋"/>
                <w:szCs w:val="21"/>
                <w:highlight w:val="none"/>
              </w:rPr>
              <w:t>日</w:t>
            </w:r>
          </w:p>
        </w:tc>
        <w:tc>
          <w:tcPr>
            <w:tcW w:w="1815" w:type="dxa"/>
            <w:vAlign w:val="center"/>
          </w:tcPr>
          <w:p w14:paraId="13A57B76">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年11月11日</w:t>
            </w:r>
          </w:p>
        </w:tc>
      </w:tr>
    </w:tbl>
    <w:p w14:paraId="79D02F23">
      <w:pPr>
        <w:pStyle w:val="4"/>
        <w:spacing w:before="405" w:beforeLines="130" w:beforeAutospacing="0" w:after="0" w:afterAutospacing="0" w:line="360" w:lineRule="auto"/>
        <w:ind w:firstLine="640" w:firstLineChars="200"/>
        <w:rPr>
          <w:rFonts w:hint="default" w:ascii="彩虹粗仿宋" w:hAnsi="微软雅黑" w:eastAsia="彩虹粗仿宋"/>
          <w:color w:val="333333"/>
          <w:sz w:val="32"/>
          <w:szCs w:val="32"/>
          <w:lang w:val="en-US" w:eastAsia="zh-CN"/>
        </w:rPr>
      </w:pPr>
      <w:r>
        <w:rPr>
          <w:rFonts w:hint="eastAsia" w:ascii="彩虹粗仿宋" w:hAnsi="微软雅黑" w:eastAsia="彩虹粗仿宋"/>
          <w:color w:val="333333"/>
          <w:sz w:val="32"/>
          <w:szCs w:val="32"/>
          <w:lang w:val="en-US" w:eastAsia="zh-CN"/>
        </w:rPr>
        <w:t>二、销售费率</w:t>
      </w:r>
    </w:p>
    <w:tbl>
      <w:tblPr>
        <w:tblStyle w:val="6"/>
        <w:tblW w:w="54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5"/>
        <w:gridCol w:w="2035"/>
        <w:gridCol w:w="873"/>
        <w:gridCol w:w="854"/>
        <w:gridCol w:w="1621"/>
        <w:gridCol w:w="1820"/>
      </w:tblGrid>
      <w:tr w14:paraId="3327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118" w:type="pct"/>
            <w:vMerge w:val="restart"/>
            <w:vAlign w:val="center"/>
          </w:tcPr>
          <w:p w14:paraId="7251B8DB">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6" w:type="pct"/>
            <w:vMerge w:val="restart"/>
            <w:vAlign w:val="center"/>
          </w:tcPr>
          <w:p w14:paraId="0A02F5F6">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30" w:type="pct"/>
            <w:gridSpan w:val="2"/>
            <w:vAlign w:val="center"/>
          </w:tcPr>
          <w:p w14:paraId="1FA86BB9">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销售</w:t>
            </w:r>
            <w:r>
              <w:rPr>
                <w:rFonts w:hint="eastAsia" w:ascii="彩虹粗仿宋" w:eastAsia="彩虹粗仿宋"/>
                <w:szCs w:val="21"/>
              </w:rPr>
              <w:t>费率（年化）</w:t>
            </w:r>
          </w:p>
        </w:tc>
        <w:tc>
          <w:tcPr>
            <w:tcW w:w="873" w:type="pct"/>
            <w:vMerge w:val="restart"/>
            <w:vAlign w:val="center"/>
          </w:tcPr>
          <w:p w14:paraId="59891AE4">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80" w:type="pct"/>
            <w:vMerge w:val="restart"/>
            <w:vAlign w:val="center"/>
          </w:tcPr>
          <w:p w14:paraId="541D808B">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4E5CC0DA">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3F1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118" w:type="pct"/>
            <w:vMerge w:val="continue"/>
            <w:vAlign w:val="center"/>
          </w:tcPr>
          <w:p w14:paraId="2C5407FB">
            <w:pPr>
              <w:autoSpaceDE w:val="0"/>
              <w:autoSpaceDN w:val="0"/>
              <w:adjustRightInd w:val="0"/>
              <w:jc w:val="center"/>
            </w:pPr>
          </w:p>
        </w:tc>
        <w:tc>
          <w:tcPr>
            <w:tcW w:w="1096" w:type="pct"/>
            <w:vMerge w:val="continue"/>
            <w:vAlign w:val="center"/>
          </w:tcPr>
          <w:p w14:paraId="183F2C2C">
            <w:pPr>
              <w:autoSpaceDE w:val="0"/>
              <w:autoSpaceDN w:val="0"/>
              <w:adjustRightInd w:val="0"/>
              <w:jc w:val="center"/>
            </w:pPr>
          </w:p>
        </w:tc>
        <w:tc>
          <w:tcPr>
            <w:tcW w:w="470" w:type="pct"/>
            <w:vAlign w:val="center"/>
          </w:tcPr>
          <w:p w14:paraId="4F0E6CEC">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0" w:type="pct"/>
            <w:vAlign w:val="center"/>
          </w:tcPr>
          <w:p w14:paraId="07C813EF">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73" w:type="pct"/>
            <w:vMerge w:val="continue"/>
            <w:vAlign w:val="center"/>
          </w:tcPr>
          <w:p w14:paraId="28BFB263">
            <w:pPr>
              <w:autoSpaceDE w:val="0"/>
              <w:autoSpaceDN w:val="0"/>
              <w:adjustRightInd w:val="0"/>
              <w:jc w:val="center"/>
              <w:rPr>
                <w:rFonts w:ascii="彩虹粗仿宋" w:eastAsia="彩虹粗仿宋"/>
                <w:szCs w:val="21"/>
              </w:rPr>
            </w:pPr>
          </w:p>
        </w:tc>
        <w:tc>
          <w:tcPr>
            <w:tcW w:w="980" w:type="pct"/>
            <w:vMerge w:val="continue"/>
            <w:vAlign w:val="center"/>
          </w:tcPr>
          <w:p w14:paraId="3D97281C">
            <w:pPr>
              <w:autoSpaceDE w:val="0"/>
              <w:autoSpaceDN w:val="0"/>
              <w:adjustRightInd w:val="0"/>
              <w:jc w:val="center"/>
              <w:rPr>
                <w:rFonts w:ascii="彩虹粗仿宋" w:eastAsia="彩虹粗仿宋"/>
                <w:szCs w:val="21"/>
              </w:rPr>
            </w:pPr>
          </w:p>
        </w:tc>
      </w:tr>
      <w:tr w14:paraId="35CF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118" w:type="pct"/>
            <w:shd w:val="clear" w:color="auto" w:fill="auto"/>
            <w:vAlign w:val="center"/>
          </w:tcPr>
          <w:p w14:paraId="7C9A2424">
            <w:pPr>
              <w:keepNext w:val="0"/>
              <w:keepLines w:val="0"/>
              <w:widowControl/>
              <w:suppressLineNumbers w:val="0"/>
              <w:jc w:val="center"/>
              <w:textAlignment w:val="center"/>
              <w:rPr>
                <w:rFonts w:hint="eastAsia" w:ascii="彩虹粗仿宋" w:eastAsia="彩虹粗仿宋" w:hAnsiTheme="minorHAnsi" w:cstheme="minorBidi"/>
                <w:kern w:val="2"/>
                <w:sz w:val="21"/>
                <w:szCs w:val="21"/>
                <w:highlight w:val="none"/>
                <w:lang w:val="en-US" w:eastAsia="zh-CN" w:bidi="ar-SA"/>
              </w:rPr>
            </w:pPr>
            <w:r>
              <w:rPr>
                <w:rFonts w:hint="eastAsia" w:ascii="彩虹粗仿宋" w:hAnsi="彩虹粗仿宋" w:eastAsia="彩虹粗仿宋" w:cs="彩虹粗仿宋"/>
                <w:i w:val="0"/>
                <w:iCs w:val="0"/>
                <w:color w:val="000000"/>
                <w:kern w:val="0"/>
                <w:sz w:val="21"/>
                <w:szCs w:val="21"/>
                <w:u w:val="none"/>
                <w:lang w:val="en-US" w:eastAsia="zh-CN" w:bidi="ar"/>
              </w:rPr>
              <w:t>建信理财嘉鑫（稳利）固收类按日开放式产品第113期</w:t>
            </w:r>
          </w:p>
        </w:tc>
        <w:tc>
          <w:tcPr>
            <w:tcW w:w="1096" w:type="pct"/>
            <w:shd w:val="clear" w:color="auto" w:fill="auto"/>
            <w:vAlign w:val="center"/>
          </w:tcPr>
          <w:p w14:paraId="7F15ED4F">
            <w:pPr>
              <w:keepNext w:val="0"/>
              <w:keepLines w:val="0"/>
              <w:widowControl/>
              <w:suppressLineNumbers w:val="0"/>
              <w:jc w:val="center"/>
              <w:textAlignment w:val="center"/>
              <w:rPr>
                <w:rFonts w:ascii="彩虹粗仿宋" w:eastAsia="彩虹粗仿宋" w:hAnsiTheme="minorHAnsi" w:cstheme="minorBidi"/>
                <w:kern w:val="2"/>
                <w:sz w:val="21"/>
                <w:szCs w:val="21"/>
                <w:highlight w:val="none"/>
                <w:lang w:val="en-US" w:eastAsia="zh-CN" w:bidi="ar-SA"/>
              </w:rPr>
            </w:pPr>
            <w:r>
              <w:rPr>
                <w:rFonts w:hint="eastAsia" w:ascii="彩虹粗仿宋" w:hAnsi="彩虹粗仿宋" w:eastAsia="彩虹粗仿宋" w:cs="彩虹粗仿宋"/>
                <w:i w:val="0"/>
                <w:iCs w:val="0"/>
                <w:color w:val="000000"/>
                <w:kern w:val="0"/>
                <w:sz w:val="21"/>
                <w:szCs w:val="21"/>
                <w:u w:val="none"/>
                <w:lang w:val="en-US" w:eastAsia="zh-CN" w:bidi="ar"/>
              </w:rPr>
              <w:t>Z7000726001329</w:t>
            </w:r>
          </w:p>
        </w:tc>
        <w:tc>
          <w:tcPr>
            <w:tcW w:w="470" w:type="pct"/>
            <w:vAlign w:val="center"/>
          </w:tcPr>
          <w:p w14:paraId="3C23941A">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0.15%</w:t>
            </w:r>
          </w:p>
        </w:tc>
        <w:tc>
          <w:tcPr>
            <w:tcW w:w="460" w:type="pct"/>
            <w:vAlign w:val="center"/>
          </w:tcPr>
          <w:p w14:paraId="68AE7E74">
            <w:pPr>
              <w:autoSpaceDE w:val="0"/>
              <w:autoSpaceDN w:val="0"/>
              <w:adjustRightInd w:val="0"/>
              <w:jc w:val="center"/>
              <w:rPr>
                <w:rFonts w:hint="default" w:ascii="彩虹粗仿宋" w:eastAsia="彩虹粗仿宋"/>
                <w:szCs w:val="21"/>
                <w:highlight w:val="none"/>
                <w:lang w:val="en-US" w:eastAsia="zh-CN"/>
              </w:rPr>
            </w:pPr>
            <w:r>
              <w:rPr>
                <w:rFonts w:hint="eastAsia" w:ascii="彩虹粗仿宋" w:eastAsia="彩虹粗仿宋"/>
                <w:szCs w:val="21"/>
                <w:highlight w:val="none"/>
                <w:lang w:val="en-US" w:eastAsia="zh-CN"/>
              </w:rPr>
              <w:t>0.1%</w:t>
            </w:r>
          </w:p>
        </w:tc>
        <w:tc>
          <w:tcPr>
            <w:tcW w:w="873" w:type="pct"/>
            <w:vAlign w:val="center"/>
          </w:tcPr>
          <w:p w14:paraId="4CEA3DBF">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11</w:t>
            </w:r>
            <w:r>
              <w:rPr>
                <w:rFonts w:hint="eastAsia" w:ascii="彩虹粗仿宋" w:eastAsia="彩虹粗仿宋"/>
                <w:szCs w:val="21"/>
                <w:highlight w:val="none"/>
              </w:rPr>
              <w:t>日</w:t>
            </w:r>
          </w:p>
        </w:tc>
        <w:tc>
          <w:tcPr>
            <w:tcW w:w="980" w:type="pct"/>
            <w:vAlign w:val="center"/>
          </w:tcPr>
          <w:p w14:paraId="11AB1827">
            <w:pPr>
              <w:autoSpaceDE w:val="0"/>
              <w:autoSpaceDN w:val="0"/>
              <w:adjustRightInd w:val="0"/>
              <w:jc w:val="center"/>
              <w:rPr>
                <w:rFonts w:hint="eastAsia" w:ascii="彩虹粗仿宋" w:eastAsia="彩虹粗仿宋"/>
                <w:szCs w:val="21"/>
                <w:lang w:val="en-US" w:eastAsia="zh-CN"/>
              </w:rPr>
            </w:pPr>
            <w:r>
              <w:rPr>
                <w:rFonts w:hint="eastAsia" w:ascii="彩虹粗仿宋" w:eastAsia="彩虹粗仿宋"/>
                <w:szCs w:val="21"/>
              </w:rPr>
              <w:t>2026</w:t>
            </w:r>
            <w:r>
              <w:rPr>
                <w:rFonts w:hint="eastAsia" w:ascii="彩虹粗仿宋" w:eastAsia="彩虹粗仿宋"/>
                <w:szCs w:val="21"/>
                <w:lang w:val="en-US" w:eastAsia="zh-CN"/>
              </w:rPr>
              <w:t>年11月11日</w:t>
            </w:r>
          </w:p>
        </w:tc>
      </w:tr>
      <w:tr w14:paraId="5322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118" w:type="pct"/>
            <w:shd w:val="clear" w:color="auto" w:fill="auto"/>
            <w:vAlign w:val="center"/>
          </w:tcPr>
          <w:p w14:paraId="099F6B0F">
            <w:pPr>
              <w:keepNext w:val="0"/>
              <w:keepLines w:val="0"/>
              <w:widowControl/>
              <w:suppressLineNumbers w:val="0"/>
              <w:jc w:val="center"/>
              <w:textAlignment w:val="center"/>
              <w:rPr>
                <w:rFonts w:hint="eastAsia" w:ascii="彩虹粗仿宋" w:eastAsia="彩虹粗仿宋"/>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建信理财嘉鑫（稳利）固收类按日开放式产品第115期</w:t>
            </w:r>
          </w:p>
        </w:tc>
        <w:tc>
          <w:tcPr>
            <w:tcW w:w="1096" w:type="pct"/>
            <w:shd w:val="clear" w:color="auto" w:fill="auto"/>
            <w:vAlign w:val="center"/>
          </w:tcPr>
          <w:p w14:paraId="5B7E3B13">
            <w:pPr>
              <w:keepNext w:val="0"/>
              <w:keepLines w:val="0"/>
              <w:widowControl/>
              <w:suppressLineNumbers w:val="0"/>
              <w:jc w:val="center"/>
              <w:textAlignment w:val="center"/>
              <w:rPr>
                <w:rFonts w:hint="eastAsia" w:ascii="彩虹粗仿宋" w:eastAsia="彩虹粗仿宋" w:hAnsiTheme="minorHAnsi" w:cstheme="minorBidi"/>
                <w:kern w:val="2"/>
                <w:sz w:val="21"/>
                <w:szCs w:val="21"/>
                <w:highlight w:val="none"/>
                <w:lang w:val="en-US" w:eastAsia="zh-CN" w:bidi="ar-SA"/>
              </w:rPr>
            </w:pPr>
            <w:r>
              <w:rPr>
                <w:rFonts w:hint="eastAsia" w:ascii="彩虹粗仿宋" w:hAnsi="彩虹粗仿宋" w:eastAsia="彩虹粗仿宋" w:cs="彩虹粗仿宋"/>
                <w:i w:val="0"/>
                <w:iCs w:val="0"/>
                <w:color w:val="000000"/>
                <w:kern w:val="0"/>
                <w:sz w:val="21"/>
                <w:szCs w:val="21"/>
                <w:u w:val="none"/>
                <w:lang w:val="en-US" w:eastAsia="zh-CN" w:bidi="ar"/>
              </w:rPr>
              <w:t>Z7000726001293</w:t>
            </w:r>
          </w:p>
        </w:tc>
        <w:tc>
          <w:tcPr>
            <w:tcW w:w="470" w:type="pct"/>
            <w:vAlign w:val="center"/>
          </w:tcPr>
          <w:p w14:paraId="03FFBA0A">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0.15%</w:t>
            </w:r>
          </w:p>
        </w:tc>
        <w:tc>
          <w:tcPr>
            <w:tcW w:w="460" w:type="pct"/>
            <w:vAlign w:val="center"/>
          </w:tcPr>
          <w:p w14:paraId="3CC8BF79">
            <w:pPr>
              <w:autoSpaceDE w:val="0"/>
              <w:autoSpaceDN w:val="0"/>
              <w:adjustRightInd w:val="0"/>
              <w:jc w:val="center"/>
              <w:rPr>
                <w:rFonts w:hint="eastAsia" w:ascii="彩虹粗仿宋" w:eastAsia="彩虹粗仿宋"/>
                <w:szCs w:val="21"/>
                <w:highlight w:val="none"/>
                <w:lang w:val="en-US" w:eastAsia="zh-CN"/>
              </w:rPr>
            </w:pPr>
            <w:r>
              <w:rPr>
                <w:rFonts w:hint="eastAsia" w:ascii="彩虹粗仿宋" w:eastAsia="彩虹粗仿宋"/>
                <w:szCs w:val="21"/>
                <w:highlight w:val="none"/>
                <w:lang w:val="en-US" w:eastAsia="zh-CN"/>
              </w:rPr>
              <w:t>0.1%</w:t>
            </w:r>
          </w:p>
        </w:tc>
        <w:tc>
          <w:tcPr>
            <w:tcW w:w="873" w:type="pct"/>
            <w:vAlign w:val="center"/>
          </w:tcPr>
          <w:p w14:paraId="25E31D84">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11</w:t>
            </w:r>
            <w:r>
              <w:rPr>
                <w:rFonts w:hint="eastAsia" w:ascii="彩虹粗仿宋" w:eastAsia="彩虹粗仿宋"/>
                <w:szCs w:val="21"/>
                <w:highlight w:val="none"/>
              </w:rPr>
              <w:t>日</w:t>
            </w:r>
          </w:p>
        </w:tc>
        <w:tc>
          <w:tcPr>
            <w:tcW w:w="980" w:type="pct"/>
            <w:vAlign w:val="center"/>
          </w:tcPr>
          <w:p w14:paraId="050766D4">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年11月11日</w:t>
            </w:r>
          </w:p>
        </w:tc>
      </w:tr>
      <w:tr w14:paraId="10D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118" w:type="pct"/>
            <w:shd w:val="clear" w:color="auto" w:fill="auto"/>
            <w:vAlign w:val="center"/>
          </w:tcPr>
          <w:p w14:paraId="08066456">
            <w:pPr>
              <w:keepNext w:val="0"/>
              <w:keepLines w:val="0"/>
              <w:widowControl/>
              <w:suppressLineNumbers w:val="0"/>
              <w:jc w:val="center"/>
              <w:textAlignment w:val="center"/>
              <w:rPr>
                <w:rFonts w:hint="eastAsia" w:ascii="彩虹粗仿宋" w:eastAsia="彩虹粗仿宋"/>
                <w:szCs w:val="21"/>
                <w:highlight w:val="none"/>
              </w:rPr>
            </w:pPr>
            <w:r>
              <w:rPr>
                <w:rFonts w:hint="eastAsia" w:ascii="彩虹粗仿宋" w:hAnsi="彩虹粗仿宋" w:eastAsia="彩虹粗仿宋" w:cs="彩虹粗仿宋"/>
                <w:i w:val="0"/>
                <w:iCs w:val="0"/>
                <w:color w:val="000000"/>
                <w:kern w:val="0"/>
                <w:sz w:val="21"/>
                <w:szCs w:val="21"/>
                <w:u w:val="none"/>
                <w:lang w:val="en-US" w:eastAsia="zh-CN" w:bidi="ar"/>
              </w:rPr>
              <w:t>建信理财嘉鑫（稳利）固收类按日开放式产品第137期</w:t>
            </w:r>
          </w:p>
        </w:tc>
        <w:tc>
          <w:tcPr>
            <w:tcW w:w="1096" w:type="pct"/>
            <w:shd w:val="clear" w:color="auto" w:fill="auto"/>
            <w:vAlign w:val="center"/>
          </w:tcPr>
          <w:p w14:paraId="7FAA3188">
            <w:pPr>
              <w:keepNext w:val="0"/>
              <w:keepLines w:val="0"/>
              <w:widowControl/>
              <w:suppressLineNumbers w:val="0"/>
              <w:jc w:val="center"/>
              <w:textAlignment w:val="center"/>
              <w:rPr>
                <w:rFonts w:hint="eastAsia" w:ascii="彩虹粗仿宋" w:eastAsia="彩虹粗仿宋" w:hAnsiTheme="minorHAnsi" w:cstheme="minorBidi"/>
                <w:kern w:val="2"/>
                <w:sz w:val="21"/>
                <w:szCs w:val="21"/>
                <w:highlight w:val="none"/>
                <w:lang w:val="en-US" w:eastAsia="zh-CN" w:bidi="ar-SA"/>
              </w:rPr>
            </w:pPr>
            <w:r>
              <w:rPr>
                <w:rFonts w:hint="eastAsia" w:ascii="彩虹粗仿宋" w:hAnsi="彩虹粗仿宋" w:eastAsia="彩虹粗仿宋" w:cs="彩虹粗仿宋"/>
                <w:i w:val="0"/>
                <w:iCs w:val="0"/>
                <w:color w:val="000000"/>
                <w:kern w:val="0"/>
                <w:sz w:val="21"/>
                <w:szCs w:val="21"/>
                <w:u w:val="none"/>
                <w:lang w:val="en-US" w:eastAsia="zh-CN" w:bidi="ar"/>
              </w:rPr>
              <w:t>Z7000726001915</w:t>
            </w:r>
          </w:p>
        </w:tc>
        <w:tc>
          <w:tcPr>
            <w:tcW w:w="470" w:type="pct"/>
            <w:vAlign w:val="center"/>
          </w:tcPr>
          <w:p w14:paraId="27F360E0">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0.15%</w:t>
            </w:r>
          </w:p>
        </w:tc>
        <w:tc>
          <w:tcPr>
            <w:tcW w:w="460" w:type="pct"/>
            <w:vAlign w:val="center"/>
          </w:tcPr>
          <w:p w14:paraId="113542F9">
            <w:pPr>
              <w:autoSpaceDE w:val="0"/>
              <w:autoSpaceDN w:val="0"/>
              <w:adjustRightInd w:val="0"/>
              <w:jc w:val="center"/>
              <w:rPr>
                <w:rFonts w:hint="eastAsia" w:ascii="彩虹粗仿宋" w:eastAsia="彩虹粗仿宋"/>
                <w:szCs w:val="21"/>
                <w:highlight w:val="none"/>
                <w:lang w:val="en-US" w:eastAsia="zh-CN"/>
              </w:rPr>
            </w:pPr>
            <w:r>
              <w:rPr>
                <w:rFonts w:hint="eastAsia" w:ascii="彩虹粗仿宋" w:eastAsia="彩虹粗仿宋"/>
                <w:szCs w:val="21"/>
                <w:highlight w:val="none"/>
                <w:lang w:val="en-US" w:eastAsia="zh-CN"/>
              </w:rPr>
              <w:t>0.1%</w:t>
            </w:r>
          </w:p>
        </w:tc>
        <w:tc>
          <w:tcPr>
            <w:tcW w:w="873" w:type="pct"/>
            <w:vAlign w:val="center"/>
          </w:tcPr>
          <w:p w14:paraId="4036DB93">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11</w:t>
            </w:r>
            <w:r>
              <w:rPr>
                <w:rFonts w:hint="eastAsia" w:ascii="彩虹粗仿宋" w:eastAsia="彩虹粗仿宋"/>
                <w:szCs w:val="21"/>
                <w:highlight w:val="none"/>
              </w:rPr>
              <w:t>日</w:t>
            </w:r>
          </w:p>
        </w:tc>
        <w:tc>
          <w:tcPr>
            <w:tcW w:w="980" w:type="pct"/>
            <w:vAlign w:val="center"/>
          </w:tcPr>
          <w:p w14:paraId="180A2342">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年11月11日</w:t>
            </w:r>
          </w:p>
        </w:tc>
      </w:tr>
    </w:tbl>
    <w:p w14:paraId="6972E494">
      <w:pPr>
        <w:pStyle w:val="4"/>
        <w:spacing w:before="0" w:beforeAutospacing="0" w:after="0" w:afterAutospacing="0" w:line="240" w:lineRule="auto"/>
        <w:rPr>
          <w:rFonts w:hint="eastAsia" w:ascii="彩虹粗仿宋" w:hAnsi="微软雅黑" w:eastAsia="彩虹粗仿宋"/>
          <w:color w:val="333333"/>
          <w:sz w:val="32"/>
          <w:szCs w:val="32"/>
        </w:rPr>
      </w:pPr>
    </w:p>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自优惠结束日后，销售费率和管理费率恢复至原费率水平。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56BB372F">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lang w:val="en-US" w:eastAsia="zh-CN"/>
        </w:rPr>
        <w:t>8</w:t>
      </w:r>
      <w:r>
        <w:rPr>
          <w:rFonts w:ascii="彩虹粗仿宋" w:hAnsi="微软雅黑" w:eastAsia="彩虹粗仿宋" w:cs="宋体"/>
          <w:color w:val="333333"/>
          <w:kern w:val="0"/>
          <w:sz w:val="32"/>
          <w:szCs w:val="32"/>
        </w:rPr>
        <w:t>月</w:t>
      </w:r>
      <w:bookmarkStart w:id="0" w:name="_GoBack"/>
      <w:bookmarkEnd w:id="0"/>
      <w:r>
        <w:rPr>
          <w:rFonts w:hint="eastAsia" w:ascii="彩虹粗仿宋" w:hAnsi="微软雅黑" w:eastAsia="彩虹粗仿宋" w:cs="宋体"/>
          <w:color w:val="333333"/>
          <w:kern w:val="0"/>
          <w:sz w:val="32"/>
          <w:szCs w:val="32"/>
          <w:lang w:val="en-US" w:eastAsia="zh-CN"/>
        </w:rPr>
        <w:t>7</w:t>
      </w:r>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8F30F8"/>
    <w:rsid w:val="00942DCA"/>
    <w:rsid w:val="039936E4"/>
    <w:rsid w:val="07E86C40"/>
    <w:rsid w:val="08F316BF"/>
    <w:rsid w:val="098655BC"/>
    <w:rsid w:val="0A1217C2"/>
    <w:rsid w:val="0DFB7091"/>
    <w:rsid w:val="12504506"/>
    <w:rsid w:val="154F5DA1"/>
    <w:rsid w:val="194D5F57"/>
    <w:rsid w:val="19F822FB"/>
    <w:rsid w:val="1C3F2267"/>
    <w:rsid w:val="24C20D54"/>
    <w:rsid w:val="25B811EE"/>
    <w:rsid w:val="25E67C21"/>
    <w:rsid w:val="2B215313"/>
    <w:rsid w:val="2D7707ED"/>
    <w:rsid w:val="33487838"/>
    <w:rsid w:val="366F06AF"/>
    <w:rsid w:val="38A7009D"/>
    <w:rsid w:val="40E5584A"/>
    <w:rsid w:val="45673698"/>
    <w:rsid w:val="46143433"/>
    <w:rsid w:val="461C5E16"/>
    <w:rsid w:val="47532DA2"/>
    <w:rsid w:val="49553C3F"/>
    <w:rsid w:val="506D41B7"/>
    <w:rsid w:val="50C75131"/>
    <w:rsid w:val="51F34B83"/>
    <w:rsid w:val="5C677510"/>
    <w:rsid w:val="5D7259E3"/>
    <w:rsid w:val="61024C7E"/>
    <w:rsid w:val="66094DF3"/>
    <w:rsid w:val="69130921"/>
    <w:rsid w:val="69EB3B55"/>
    <w:rsid w:val="6A7B4E5D"/>
    <w:rsid w:val="6B7B5F97"/>
    <w:rsid w:val="6BD452CC"/>
    <w:rsid w:val="6DF734E2"/>
    <w:rsid w:val="74895F66"/>
    <w:rsid w:val="74FC2BFE"/>
    <w:rsid w:val="78E26444"/>
    <w:rsid w:val="79B252CA"/>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Words>
  <Characters>412</Characters>
  <Lines>3</Lines>
  <Paragraphs>1</Paragraphs>
  <TotalTime>2</TotalTime>
  <ScaleCrop>false</ScaleCrop>
  <LinksUpToDate>false</LinksUpToDate>
  <CharactersWithSpaces>483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jxlc</cp:lastModifiedBy>
  <dcterms:modified xsi:type="dcterms:W3CDTF">2026-07-29T02:40:44Z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