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AF6CC">
      <w:pPr>
        <w:pStyle w:val="3"/>
        <w:jc w:val="center"/>
        <w:rPr>
          <w:rFonts w:ascii="彩虹粗仿宋" w:hAnsi="微软雅黑" w:eastAsia="彩虹粗仿宋" w:cs="宋体"/>
          <w:color w:val="333333"/>
          <w:kern w:val="0"/>
          <w:szCs w:val="32"/>
        </w:rPr>
      </w:pPr>
      <w:r>
        <w:rPr>
          <w:rFonts w:hint="eastAsia" w:ascii="彩虹粗仿宋" w:hAnsi="彩虹粗仿宋" w:eastAsia="彩虹粗仿宋" w:cs="彩虹粗仿宋"/>
          <w:b w:val="0"/>
          <w:bCs/>
          <w:sz w:val="36"/>
          <w:szCs w:val="36"/>
        </w:rPr>
        <w:t>关于建信理财部分产品费率优惠的公告</w:t>
      </w:r>
    </w:p>
    <w:p w14:paraId="29086F39">
      <w:pPr>
        <w:jc w:val="center"/>
        <w:rPr>
          <w:rFonts w:ascii="彩虹粗仿宋" w:hAnsi="微软雅黑" w:eastAsia="彩虹粗仿宋" w:cs="宋体"/>
          <w:color w:val="333333"/>
          <w:kern w:val="0"/>
          <w:sz w:val="32"/>
          <w:szCs w:val="32"/>
        </w:rPr>
      </w:pPr>
    </w:p>
    <w:p w14:paraId="1A41591D">
      <w:pPr>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3B2FBF9B">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为更好地为客户提供投资理财服务，建信理财有限责任公司拟对以下产品进行费率优惠，具体内容如下：</w:t>
      </w:r>
    </w:p>
    <w:p w14:paraId="30911B74">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一、管理费率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8"/>
        <w:gridCol w:w="2019"/>
        <w:gridCol w:w="884"/>
        <w:gridCol w:w="868"/>
        <w:gridCol w:w="1671"/>
        <w:gridCol w:w="1723"/>
      </w:tblGrid>
      <w:tr w14:paraId="31B6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restart"/>
            <w:vAlign w:val="center"/>
          </w:tcPr>
          <w:p w14:paraId="246F04F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2" w:type="pct"/>
            <w:vMerge w:val="restart"/>
            <w:vAlign w:val="center"/>
          </w:tcPr>
          <w:p w14:paraId="521D88E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7" w:type="pct"/>
            <w:gridSpan w:val="2"/>
            <w:vAlign w:val="center"/>
          </w:tcPr>
          <w:p w14:paraId="521A3A0B">
            <w:pPr>
              <w:autoSpaceDE w:val="0"/>
              <w:autoSpaceDN w:val="0"/>
              <w:adjustRightInd w:val="0"/>
              <w:jc w:val="center"/>
              <w:rPr>
                <w:rFonts w:ascii="彩虹粗仿宋" w:eastAsia="彩虹粗仿宋"/>
                <w:szCs w:val="21"/>
              </w:rPr>
            </w:pPr>
            <w:r>
              <w:rPr>
                <w:rFonts w:hint="eastAsia" w:ascii="彩虹粗仿宋" w:eastAsia="彩虹粗仿宋"/>
                <w:szCs w:val="21"/>
              </w:rPr>
              <w:t>管理费率（年化）</w:t>
            </w:r>
          </w:p>
        </w:tc>
        <w:tc>
          <w:tcPr>
            <w:tcW w:w="903" w:type="pct"/>
            <w:vMerge w:val="restart"/>
            <w:vAlign w:val="center"/>
          </w:tcPr>
          <w:p w14:paraId="5331AB4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32" w:type="pct"/>
            <w:vMerge w:val="restart"/>
            <w:vAlign w:val="center"/>
          </w:tcPr>
          <w:p w14:paraId="5E1AA3B5">
            <w:pPr>
              <w:pStyle w:val="4"/>
              <w:snapToGrid w:val="0"/>
              <w:spacing w:before="0" w:beforeAutospacing="0" w:after="0" w:afterAutospacing="0"/>
              <w:jc w:val="center"/>
              <w:rPr>
                <w:rFonts w:hint="eastAsia"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5A52917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09C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continue"/>
            <w:vAlign w:val="center"/>
          </w:tcPr>
          <w:p w14:paraId="4CF2CB2E">
            <w:pPr>
              <w:autoSpaceDE w:val="0"/>
              <w:autoSpaceDN w:val="0"/>
              <w:adjustRightInd w:val="0"/>
              <w:jc w:val="center"/>
            </w:pPr>
          </w:p>
        </w:tc>
        <w:tc>
          <w:tcPr>
            <w:tcW w:w="1092" w:type="pct"/>
            <w:vMerge w:val="continue"/>
            <w:vAlign w:val="center"/>
          </w:tcPr>
          <w:p w14:paraId="6B3E051E">
            <w:pPr>
              <w:autoSpaceDE w:val="0"/>
              <w:autoSpaceDN w:val="0"/>
              <w:adjustRightInd w:val="0"/>
              <w:jc w:val="center"/>
            </w:pPr>
          </w:p>
        </w:tc>
        <w:tc>
          <w:tcPr>
            <w:tcW w:w="478" w:type="pct"/>
            <w:vAlign w:val="center"/>
          </w:tcPr>
          <w:p w14:paraId="6BD0A268">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9" w:type="pct"/>
            <w:vAlign w:val="center"/>
          </w:tcPr>
          <w:p w14:paraId="6C53157A">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903" w:type="pct"/>
            <w:vMerge w:val="continue"/>
            <w:vAlign w:val="center"/>
          </w:tcPr>
          <w:p w14:paraId="5FCB56AC">
            <w:pPr>
              <w:autoSpaceDE w:val="0"/>
              <w:autoSpaceDN w:val="0"/>
              <w:adjustRightInd w:val="0"/>
              <w:jc w:val="center"/>
              <w:rPr>
                <w:rFonts w:ascii="彩虹粗仿宋" w:eastAsia="彩虹粗仿宋"/>
                <w:szCs w:val="21"/>
              </w:rPr>
            </w:pPr>
          </w:p>
        </w:tc>
        <w:tc>
          <w:tcPr>
            <w:tcW w:w="932" w:type="pct"/>
            <w:vMerge w:val="continue"/>
            <w:vAlign w:val="center"/>
          </w:tcPr>
          <w:p w14:paraId="1C7A8254">
            <w:pPr>
              <w:autoSpaceDE w:val="0"/>
              <w:autoSpaceDN w:val="0"/>
              <w:adjustRightInd w:val="0"/>
              <w:jc w:val="center"/>
              <w:rPr>
                <w:rFonts w:ascii="彩虹粗仿宋" w:eastAsia="彩虹粗仿宋"/>
                <w:szCs w:val="21"/>
              </w:rPr>
            </w:pPr>
          </w:p>
        </w:tc>
      </w:tr>
      <w:tr w14:paraId="672F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pct"/>
            <w:vAlign w:val="center"/>
          </w:tcPr>
          <w:p w14:paraId="1B25546C">
            <w:pPr>
              <w:autoSpaceDE w:val="0"/>
              <w:autoSpaceDN w:val="0"/>
              <w:adjustRightInd w:val="0"/>
              <w:jc w:val="center"/>
              <w:rPr>
                <w:rFonts w:hint="eastAsia" w:ascii="彩虹粗仿宋" w:eastAsia="彩虹粗仿宋"/>
                <w:szCs w:val="21"/>
              </w:rPr>
            </w:pPr>
            <w:r>
              <w:rPr>
                <w:rFonts w:hint="eastAsia" w:ascii="彩虹粗仿宋" w:eastAsia="彩虹粗仿宋"/>
                <w:szCs w:val="21"/>
                <w:lang w:val="en-US" w:eastAsia="zh-CN"/>
              </w:rPr>
              <w:t>建信理财嘉鑫（稳利）固收类按日开放式产品第138期</w:t>
            </w:r>
          </w:p>
        </w:tc>
        <w:tc>
          <w:tcPr>
            <w:tcW w:w="1092" w:type="pct"/>
            <w:vAlign w:val="center"/>
          </w:tcPr>
          <w:p w14:paraId="2ECD28E8">
            <w:pPr>
              <w:autoSpaceDE w:val="0"/>
              <w:autoSpaceDN w:val="0"/>
              <w:adjustRightInd w:val="0"/>
              <w:jc w:val="center"/>
              <w:rPr>
                <w:rFonts w:hint="eastAsia" w:ascii="彩虹粗仿宋" w:eastAsia="彩虹粗仿宋"/>
                <w:szCs w:val="21"/>
              </w:rPr>
            </w:pPr>
            <w:r>
              <w:rPr>
                <w:rFonts w:hint="eastAsia" w:ascii="彩虹粗仿宋" w:eastAsia="彩虹粗仿宋"/>
                <w:szCs w:val="21"/>
                <w:lang w:val="en-US" w:eastAsia="zh-CN"/>
              </w:rPr>
              <w:t>Z7000726001944</w:t>
            </w:r>
          </w:p>
        </w:tc>
        <w:tc>
          <w:tcPr>
            <w:tcW w:w="478" w:type="pct"/>
            <w:vAlign w:val="center"/>
          </w:tcPr>
          <w:p w14:paraId="4B997DC9">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40B552CB">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903" w:type="pct"/>
            <w:vAlign w:val="center"/>
          </w:tcPr>
          <w:p w14:paraId="707210CA">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13</w:t>
            </w:r>
            <w:r>
              <w:rPr>
                <w:rFonts w:hint="eastAsia" w:ascii="彩虹粗仿宋" w:eastAsia="彩虹粗仿宋"/>
                <w:szCs w:val="21"/>
              </w:rPr>
              <w:t>日</w:t>
            </w:r>
          </w:p>
        </w:tc>
        <w:tc>
          <w:tcPr>
            <w:tcW w:w="932" w:type="pct"/>
            <w:vAlign w:val="center"/>
          </w:tcPr>
          <w:p w14:paraId="6BDBF1A8">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13</w:t>
            </w:r>
            <w:r>
              <w:rPr>
                <w:rFonts w:hint="eastAsia" w:ascii="彩虹粗仿宋" w:eastAsia="彩虹粗仿宋"/>
                <w:szCs w:val="21"/>
              </w:rPr>
              <w:t>日</w:t>
            </w:r>
          </w:p>
        </w:tc>
      </w:tr>
      <w:tr w14:paraId="30E3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pct"/>
            <w:vAlign w:val="center"/>
          </w:tcPr>
          <w:p w14:paraId="5E2B8575">
            <w:pPr>
              <w:autoSpaceDE w:val="0"/>
              <w:autoSpaceDN w:val="0"/>
              <w:adjustRightInd w:val="0"/>
              <w:jc w:val="center"/>
              <w:rPr>
                <w:rFonts w:hint="eastAsia" w:ascii="彩虹粗仿宋" w:eastAsia="彩虹粗仿宋"/>
                <w:szCs w:val="21"/>
              </w:rPr>
            </w:pPr>
            <w:r>
              <w:rPr>
                <w:rFonts w:hint="eastAsia" w:ascii="彩虹粗仿宋" w:eastAsia="彩虹粗仿宋"/>
                <w:szCs w:val="21"/>
                <w:lang w:val="en-US" w:eastAsia="zh-CN"/>
              </w:rPr>
              <w:t>建信理财嘉鑫（稳利）固收类按日开放式产品第139期</w:t>
            </w:r>
          </w:p>
        </w:tc>
        <w:tc>
          <w:tcPr>
            <w:tcW w:w="1092" w:type="pct"/>
            <w:vAlign w:val="center"/>
          </w:tcPr>
          <w:p w14:paraId="52E53FD6">
            <w:pPr>
              <w:autoSpaceDE w:val="0"/>
              <w:autoSpaceDN w:val="0"/>
              <w:adjustRightInd w:val="0"/>
              <w:jc w:val="center"/>
              <w:rPr>
                <w:rFonts w:hint="eastAsia" w:ascii="彩虹粗仿宋" w:eastAsia="彩虹粗仿宋"/>
                <w:szCs w:val="21"/>
              </w:rPr>
            </w:pPr>
            <w:r>
              <w:rPr>
                <w:rFonts w:hint="eastAsia" w:ascii="彩虹粗仿宋" w:eastAsia="彩虹粗仿宋"/>
                <w:szCs w:val="21"/>
                <w:lang w:val="en-US" w:eastAsia="zh-CN"/>
              </w:rPr>
              <w:t>Z7000726001907</w:t>
            </w:r>
          </w:p>
        </w:tc>
        <w:tc>
          <w:tcPr>
            <w:tcW w:w="478" w:type="pct"/>
            <w:vAlign w:val="center"/>
          </w:tcPr>
          <w:p w14:paraId="5A1FE2C3">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3695251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71" w:type="dxa"/>
            <w:vAlign w:val="center"/>
          </w:tcPr>
          <w:p w14:paraId="1DFC6AC8">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13</w:t>
            </w:r>
            <w:r>
              <w:rPr>
                <w:rFonts w:hint="eastAsia" w:ascii="彩虹粗仿宋" w:eastAsia="彩虹粗仿宋"/>
                <w:szCs w:val="21"/>
              </w:rPr>
              <w:t>日</w:t>
            </w:r>
          </w:p>
        </w:tc>
        <w:tc>
          <w:tcPr>
            <w:tcW w:w="1723" w:type="dxa"/>
            <w:vAlign w:val="center"/>
          </w:tcPr>
          <w:p w14:paraId="13A57B76">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13</w:t>
            </w:r>
            <w:r>
              <w:rPr>
                <w:rFonts w:hint="eastAsia" w:ascii="彩虹粗仿宋" w:eastAsia="彩虹粗仿宋"/>
                <w:szCs w:val="21"/>
              </w:rPr>
              <w:t>日</w:t>
            </w:r>
          </w:p>
        </w:tc>
      </w:tr>
      <w:tr w14:paraId="749B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pct"/>
            <w:vAlign w:val="center"/>
          </w:tcPr>
          <w:p w14:paraId="0021F674">
            <w:pPr>
              <w:autoSpaceDE w:val="0"/>
              <w:autoSpaceDN w:val="0"/>
              <w:adjustRightInd w:val="0"/>
              <w:jc w:val="center"/>
              <w:rPr>
                <w:rFonts w:hint="eastAsia" w:ascii="彩虹粗仿宋" w:eastAsia="彩虹粗仿宋"/>
                <w:szCs w:val="21"/>
              </w:rPr>
            </w:pPr>
            <w:r>
              <w:rPr>
                <w:rFonts w:hint="eastAsia" w:ascii="彩虹粗仿宋" w:eastAsia="彩虹粗仿宋"/>
                <w:szCs w:val="21"/>
                <w:lang w:val="en-US" w:eastAsia="zh-CN"/>
              </w:rPr>
              <w:t>建信理财嘉鑫（稳利）固收类按日开放式产品第150期</w:t>
            </w:r>
          </w:p>
        </w:tc>
        <w:tc>
          <w:tcPr>
            <w:tcW w:w="1092" w:type="pct"/>
            <w:vAlign w:val="center"/>
          </w:tcPr>
          <w:p w14:paraId="789E430C">
            <w:pPr>
              <w:autoSpaceDE w:val="0"/>
              <w:autoSpaceDN w:val="0"/>
              <w:adjustRightInd w:val="0"/>
              <w:jc w:val="center"/>
              <w:rPr>
                <w:rFonts w:hint="eastAsia" w:ascii="彩虹粗仿宋" w:eastAsia="彩虹粗仿宋"/>
                <w:szCs w:val="21"/>
              </w:rPr>
            </w:pPr>
            <w:r>
              <w:rPr>
                <w:rFonts w:hint="eastAsia" w:ascii="彩虹粗仿宋" w:eastAsia="彩虹粗仿宋"/>
                <w:szCs w:val="21"/>
                <w:lang w:val="en-US" w:eastAsia="zh-CN"/>
              </w:rPr>
              <w:t>Z7000726001946</w:t>
            </w:r>
          </w:p>
        </w:tc>
        <w:tc>
          <w:tcPr>
            <w:tcW w:w="478" w:type="pct"/>
            <w:vAlign w:val="center"/>
          </w:tcPr>
          <w:p w14:paraId="2478C830">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1AB565A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71" w:type="dxa"/>
            <w:vAlign w:val="center"/>
          </w:tcPr>
          <w:p w14:paraId="1A6CC66E">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13</w:t>
            </w:r>
            <w:r>
              <w:rPr>
                <w:rFonts w:hint="eastAsia" w:ascii="彩虹粗仿宋" w:eastAsia="彩虹粗仿宋"/>
                <w:szCs w:val="21"/>
              </w:rPr>
              <w:t>日</w:t>
            </w:r>
          </w:p>
        </w:tc>
        <w:tc>
          <w:tcPr>
            <w:tcW w:w="1723" w:type="dxa"/>
            <w:vAlign w:val="center"/>
          </w:tcPr>
          <w:p w14:paraId="1EA797F5">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13</w:t>
            </w:r>
            <w:r>
              <w:rPr>
                <w:rFonts w:hint="eastAsia" w:ascii="彩虹粗仿宋" w:eastAsia="彩虹粗仿宋"/>
                <w:szCs w:val="21"/>
              </w:rPr>
              <w:t>日</w:t>
            </w:r>
          </w:p>
        </w:tc>
      </w:tr>
      <w:tr w14:paraId="0C2C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124" w:type="pct"/>
            <w:vAlign w:val="center"/>
          </w:tcPr>
          <w:p w14:paraId="079FFC4B">
            <w:pPr>
              <w:autoSpaceDE w:val="0"/>
              <w:autoSpaceDN w:val="0"/>
              <w:adjustRightInd w:val="0"/>
              <w:jc w:val="center"/>
              <w:rPr>
                <w:rFonts w:hint="eastAsia" w:ascii="彩虹粗仿宋" w:eastAsia="彩虹粗仿宋"/>
                <w:szCs w:val="21"/>
              </w:rPr>
            </w:pPr>
            <w:r>
              <w:rPr>
                <w:rFonts w:hint="eastAsia" w:ascii="彩虹粗仿宋" w:eastAsia="彩虹粗仿宋"/>
                <w:szCs w:val="21"/>
                <w:lang w:val="en-US" w:eastAsia="zh-CN"/>
              </w:rPr>
              <w:t>建信理财嘉鑫（稳利）固收类最低持有7天产品第65期</w:t>
            </w:r>
          </w:p>
        </w:tc>
        <w:tc>
          <w:tcPr>
            <w:tcW w:w="1092" w:type="pct"/>
            <w:vAlign w:val="center"/>
          </w:tcPr>
          <w:p w14:paraId="62D4E665">
            <w:pPr>
              <w:autoSpaceDE w:val="0"/>
              <w:autoSpaceDN w:val="0"/>
              <w:adjustRightInd w:val="0"/>
              <w:jc w:val="center"/>
              <w:rPr>
                <w:rFonts w:hint="eastAsia" w:ascii="彩虹粗仿宋" w:eastAsia="彩虹粗仿宋"/>
                <w:szCs w:val="21"/>
              </w:rPr>
            </w:pPr>
            <w:r>
              <w:rPr>
                <w:rFonts w:hint="eastAsia" w:ascii="彩虹粗仿宋" w:eastAsia="彩虹粗仿宋"/>
                <w:szCs w:val="21"/>
                <w:lang w:val="en-US" w:eastAsia="zh-CN"/>
              </w:rPr>
              <w:t>Z7000726001292</w:t>
            </w:r>
          </w:p>
        </w:tc>
        <w:tc>
          <w:tcPr>
            <w:tcW w:w="478" w:type="pct"/>
            <w:vAlign w:val="center"/>
          </w:tcPr>
          <w:p w14:paraId="51245585">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48D6033F">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71" w:type="dxa"/>
            <w:vAlign w:val="center"/>
          </w:tcPr>
          <w:p w14:paraId="5327094A">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13</w:t>
            </w:r>
            <w:r>
              <w:rPr>
                <w:rFonts w:hint="eastAsia" w:ascii="彩虹粗仿宋" w:eastAsia="彩虹粗仿宋"/>
                <w:szCs w:val="21"/>
              </w:rPr>
              <w:t>日</w:t>
            </w:r>
          </w:p>
        </w:tc>
        <w:tc>
          <w:tcPr>
            <w:tcW w:w="1723" w:type="dxa"/>
            <w:vAlign w:val="center"/>
          </w:tcPr>
          <w:p w14:paraId="537F1D69">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13</w:t>
            </w:r>
            <w:r>
              <w:rPr>
                <w:rFonts w:hint="eastAsia" w:ascii="彩虹粗仿宋" w:eastAsia="彩虹粗仿宋"/>
                <w:szCs w:val="21"/>
              </w:rPr>
              <w:t>日</w:t>
            </w:r>
          </w:p>
        </w:tc>
      </w:tr>
    </w:tbl>
    <w:p w14:paraId="79D02F23">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二、销售费率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9"/>
        <w:gridCol w:w="2028"/>
        <w:gridCol w:w="884"/>
        <w:gridCol w:w="857"/>
        <w:gridCol w:w="1650"/>
        <w:gridCol w:w="1755"/>
      </w:tblGrid>
      <w:tr w14:paraId="3327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jc w:val="center"/>
        </w:trPr>
        <w:tc>
          <w:tcPr>
            <w:tcW w:w="1119" w:type="pct"/>
            <w:vMerge w:val="restart"/>
            <w:vAlign w:val="center"/>
          </w:tcPr>
          <w:p w14:paraId="7251B8DB">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7" w:type="pct"/>
            <w:vMerge w:val="restart"/>
            <w:vAlign w:val="center"/>
          </w:tcPr>
          <w:p w14:paraId="0A02F5F6">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1" w:type="pct"/>
            <w:gridSpan w:val="2"/>
            <w:vAlign w:val="center"/>
          </w:tcPr>
          <w:p w14:paraId="1FA86BB9">
            <w:pPr>
              <w:autoSpaceDE w:val="0"/>
              <w:autoSpaceDN w:val="0"/>
              <w:adjustRightInd w:val="0"/>
              <w:jc w:val="center"/>
              <w:rPr>
                <w:rFonts w:ascii="彩虹粗仿宋" w:eastAsia="彩虹粗仿宋"/>
                <w:szCs w:val="21"/>
              </w:rPr>
            </w:pPr>
            <w:r>
              <w:rPr>
                <w:rFonts w:hint="eastAsia" w:ascii="彩虹粗仿宋" w:eastAsia="彩虹粗仿宋"/>
                <w:szCs w:val="21"/>
              </w:rPr>
              <w:t>销售费率（年化）</w:t>
            </w:r>
          </w:p>
        </w:tc>
        <w:tc>
          <w:tcPr>
            <w:tcW w:w="892" w:type="pct"/>
            <w:vMerge w:val="restart"/>
            <w:vAlign w:val="center"/>
          </w:tcPr>
          <w:p w14:paraId="14AA1D52">
            <w:pPr>
              <w:pStyle w:val="4"/>
              <w:snapToGrid w:val="0"/>
              <w:spacing w:before="0" w:beforeAutospacing="0" w:after="0" w:afterAutospacing="0"/>
              <w:jc w:val="center"/>
              <w:rPr>
                <w:rFonts w:hint="eastAsia"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w:t>
            </w:r>
          </w:p>
          <w:p w14:paraId="59891AE4">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c>
          <w:tcPr>
            <w:tcW w:w="949" w:type="pct"/>
            <w:vMerge w:val="restart"/>
            <w:vAlign w:val="center"/>
          </w:tcPr>
          <w:p w14:paraId="78E3AB59">
            <w:pPr>
              <w:pStyle w:val="4"/>
              <w:snapToGrid w:val="0"/>
              <w:spacing w:before="0" w:beforeAutospacing="0" w:after="0" w:afterAutospacing="0"/>
              <w:jc w:val="center"/>
              <w:rPr>
                <w:rFonts w:hint="eastAsia"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4E5CC0DA">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3F14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19" w:type="pct"/>
            <w:vMerge w:val="continue"/>
            <w:vAlign w:val="center"/>
          </w:tcPr>
          <w:p w14:paraId="2C5407FB">
            <w:pPr>
              <w:autoSpaceDE w:val="0"/>
              <w:autoSpaceDN w:val="0"/>
              <w:adjustRightInd w:val="0"/>
              <w:jc w:val="center"/>
            </w:pPr>
          </w:p>
        </w:tc>
        <w:tc>
          <w:tcPr>
            <w:tcW w:w="1097" w:type="pct"/>
            <w:vMerge w:val="continue"/>
            <w:vAlign w:val="center"/>
          </w:tcPr>
          <w:p w14:paraId="183F2C2C">
            <w:pPr>
              <w:autoSpaceDE w:val="0"/>
              <w:autoSpaceDN w:val="0"/>
              <w:adjustRightInd w:val="0"/>
              <w:jc w:val="center"/>
            </w:pPr>
          </w:p>
        </w:tc>
        <w:tc>
          <w:tcPr>
            <w:tcW w:w="478" w:type="pct"/>
            <w:vAlign w:val="center"/>
          </w:tcPr>
          <w:p w14:paraId="4F0E6CEC">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3" w:type="pct"/>
            <w:vAlign w:val="center"/>
          </w:tcPr>
          <w:p w14:paraId="07C813EF">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92" w:type="pct"/>
            <w:vMerge w:val="continue"/>
            <w:vAlign w:val="center"/>
          </w:tcPr>
          <w:p w14:paraId="28BFB263">
            <w:pPr>
              <w:autoSpaceDE w:val="0"/>
              <w:autoSpaceDN w:val="0"/>
              <w:adjustRightInd w:val="0"/>
              <w:jc w:val="center"/>
              <w:rPr>
                <w:rFonts w:ascii="彩虹粗仿宋" w:eastAsia="彩虹粗仿宋"/>
                <w:szCs w:val="21"/>
              </w:rPr>
            </w:pPr>
          </w:p>
        </w:tc>
        <w:tc>
          <w:tcPr>
            <w:tcW w:w="949" w:type="pct"/>
            <w:vMerge w:val="continue"/>
            <w:vAlign w:val="center"/>
          </w:tcPr>
          <w:p w14:paraId="3D97281C">
            <w:pPr>
              <w:autoSpaceDE w:val="0"/>
              <w:autoSpaceDN w:val="0"/>
              <w:adjustRightInd w:val="0"/>
              <w:jc w:val="center"/>
              <w:rPr>
                <w:rFonts w:ascii="彩虹粗仿宋" w:eastAsia="彩虹粗仿宋"/>
                <w:szCs w:val="21"/>
              </w:rPr>
            </w:pPr>
          </w:p>
        </w:tc>
      </w:tr>
      <w:tr w14:paraId="5322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9" w:type="pct"/>
            <w:shd w:val="clear" w:color="auto" w:fill="auto"/>
            <w:vAlign w:val="center"/>
          </w:tcPr>
          <w:p w14:paraId="099F6B0F">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建信理财嘉鑫（稳利）固收类按日开放式产品第138期</w:t>
            </w:r>
          </w:p>
        </w:tc>
        <w:tc>
          <w:tcPr>
            <w:tcW w:w="1097" w:type="pct"/>
            <w:shd w:val="clear" w:color="auto" w:fill="auto"/>
            <w:vAlign w:val="center"/>
          </w:tcPr>
          <w:p w14:paraId="5B7E3B13">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Z7000726001944</w:t>
            </w:r>
          </w:p>
        </w:tc>
        <w:tc>
          <w:tcPr>
            <w:tcW w:w="478" w:type="pct"/>
            <w:vAlign w:val="center"/>
          </w:tcPr>
          <w:p w14:paraId="03FFBA0A">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3CC8BF7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892" w:type="pct"/>
            <w:vAlign w:val="center"/>
          </w:tcPr>
          <w:p w14:paraId="25E31D84">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13</w:t>
            </w:r>
            <w:r>
              <w:rPr>
                <w:rFonts w:hint="eastAsia" w:ascii="彩虹粗仿宋" w:eastAsia="彩虹粗仿宋"/>
                <w:szCs w:val="21"/>
              </w:rPr>
              <w:t>日</w:t>
            </w:r>
          </w:p>
        </w:tc>
        <w:tc>
          <w:tcPr>
            <w:tcW w:w="949" w:type="pct"/>
            <w:vAlign w:val="center"/>
          </w:tcPr>
          <w:p w14:paraId="050766D4">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13</w:t>
            </w:r>
            <w:r>
              <w:rPr>
                <w:rFonts w:hint="eastAsia" w:ascii="彩虹粗仿宋" w:eastAsia="彩虹粗仿宋"/>
                <w:szCs w:val="21"/>
              </w:rPr>
              <w:t>日</w:t>
            </w:r>
          </w:p>
        </w:tc>
      </w:tr>
      <w:tr w14:paraId="10D6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pct"/>
            <w:shd w:val="clear" w:color="auto" w:fill="auto"/>
            <w:vAlign w:val="center"/>
          </w:tcPr>
          <w:p w14:paraId="08066456">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建信理财嘉鑫（稳利）固收类按日开放式产品第139期</w:t>
            </w:r>
          </w:p>
        </w:tc>
        <w:tc>
          <w:tcPr>
            <w:tcW w:w="1097" w:type="pct"/>
            <w:shd w:val="clear" w:color="auto" w:fill="auto"/>
            <w:vAlign w:val="center"/>
          </w:tcPr>
          <w:p w14:paraId="7FAA3188">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Z7000726001907</w:t>
            </w:r>
          </w:p>
        </w:tc>
        <w:tc>
          <w:tcPr>
            <w:tcW w:w="478" w:type="pct"/>
            <w:vAlign w:val="center"/>
          </w:tcPr>
          <w:p w14:paraId="27F360E0">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113542F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892" w:type="pct"/>
            <w:vAlign w:val="center"/>
          </w:tcPr>
          <w:p w14:paraId="4036DB93">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13</w:t>
            </w:r>
            <w:r>
              <w:rPr>
                <w:rFonts w:hint="eastAsia" w:ascii="彩虹粗仿宋" w:eastAsia="彩虹粗仿宋"/>
                <w:szCs w:val="21"/>
              </w:rPr>
              <w:t>日</w:t>
            </w:r>
          </w:p>
        </w:tc>
        <w:tc>
          <w:tcPr>
            <w:tcW w:w="949" w:type="pct"/>
            <w:vAlign w:val="center"/>
          </w:tcPr>
          <w:p w14:paraId="180A2342">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13</w:t>
            </w:r>
            <w:r>
              <w:rPr>
                <w:rFonts w:hint="eastAsia" w:ascii="彩虹粗仿宋" w:eastAsia="彩虹粗仿宋"/>
                <w:szCs w:val="21"/>
              </w:rPr>
              <w:t>日</w:t>
            </w:r>
          </w:p>
        </w:tc>
      </w:tr>
      <w:tr w14:paraId="25C3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pct"/>
            <w:shd w:val="clear" w:color="auto" w:fill="auto"/>
            <w:vAlign w:val="center"/>
          </w:tcPr>
          <w:p w14:paraId="0D717D90">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建信理财嘉鑫（稳利）固收类按日开放式产品第150期</w:t>
            </w:r>
          </w:p>
        </w:tc>
        <w:tc>
          <w:tcPr>
            <w:tcW w:w="1097" w:type="pct"/>
            <w:shd w:val="clear" w:color="auto" w:fill="auto"/>
            <w:vAlign w:val="center"/>
          </w:tcPr>
          <w:p w14:paraId="5625EEB0">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Z7000726001946</w:t>
            </w:r>
          </w:p>
        </w:tc>
        <w:tc>
          <w:tcPr>
            <w:tcW w:w="478" w:type="pct"/>
            <w:vAlign w:val="center"/>
          </w:tcPr>
          <w:p w14:paraId="5ACA9C1B">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5FB3A38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892" w:type="pct"/>
            <w:vAlign w:val="center"/>
          </w:tcPr>
          <w:p w14:paraId="21FA4E45">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13</w:t>
            </w:r>
            <w:r>
              <w:rPr>
                <w:rFonts w:hint="eastAsia" w:ascii="彩虹粗仿宋" w:eastAsia="彩虹粗仿宋"/>
                <w:szCs w:val="21"/>
              </w:rPr>
              <w:t>日</w:t>
            </w:r>
          </w:p>
        </w:tc>
        <w:tc>
          <w:tcPr>
            <w:tcW w:w="949" w:type="pct"/>
            <w:vAlign w:val="center"/>
          </w:tcPr>
          <w:p w14:paraId="72710B79">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13</w:t>
            </w:r>
            <w:r>
              <w:rPr>
                <w:rFonts w:hint="eastAsia" w:ascii="彩虹粗仿宋" w:eastAsia="彩虹粗仿宋"/>
                <w:szCs w:val="21"/>
              </w:rPr>
              <w:t>日</w:t>
            </w:r>
          </w:p>
        </w:tc>
      </w:tr>
      <w:tr w14:paraId="737F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9" w:type="pct"/>
            <w:shd w:val="clear" w:color="auto" w:fill="auto"/>
            <w:vAlign w:val="center"/>
          </w:tcPr>
          <w:p w14:paraId="7169535D">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建信理财嘉鑫（稳利）固收类最低持有7天产品第65期</w:t>
            </w:r>
          </w:p>
        </w:tc>
        <w:tc>
          <w:tcPr>
            <w:tcW w:w="1097" w:type="pct"/>
            <w:shd w:val="clear" w:color="auto" w:fill="auto"/>
            <w:vAlign w:val="center"/>
          </w:tcPr>
          <w:p w14:paraId="12590B3C">
            <w:pPr>
              <w:autoSpaceDE w:val="0"/>
              <w:autoSpaceDN w:val="0"/>
              <w:adjustRightInd w:val="0"/>
              <w:jc w:val="center"/>
              <w:rPr>
                <w:rFonts w:ascii="彩虹粗仿宋" w:eastAsia="彩虹粗仿宋"/>
                <w:szCs w:val="21"/>
              </w:rPr>
            </w:pPr>
            <w:r>
              <w:rPr>
                <w:rFonts w:hint="eastAsia" w:ascii="彩虹粗仿宋" w:eastAsia="彩虹粗仿宋"/>
                <w:szCs w:val="21"/>
                <w:lang w:val="en-US" w:eastAsia="zh-CN"/>
              </w:rPr>
              <w:t>Z7000726001292</w:t>
            </w:r>
          </w:p>
        </w:tc>
        <w:tc>
          <w:tcPr>
            <w:tcW w:w="478" w:type="pct"/>
            <w:vAlign w:val="center"/>
          </w:tcPr>
          <w:p w14:paraId="4263E42D">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13F50D5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892" w:type="pct"/>
            <w:vAlign w:val="center"/>
          </w:tcPr>
          <w:p w14:paraId="6A6934CD">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13</w:t>
            </w:r>
            <w:r>
              <w:rPr>
                <w:rFonts w:hint="eastAsia" w:ascii="彩虹粗仿宋" w:eastAsia="彩虹粗仿宋"/>
                <w:szCs w:val="21"/>
              </w:rPr>
              <w:t>日</w:t>
            </w:r>
          </w:p>
        </w:tc>
        <w:tc>
          <w:tcPr>
            <w:tcW w:w="949" w:type="pct"/>
            <w:vAlign w:val="center"/>
          </w:tcPr>
          <w:p w14:paraId="42174547">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13</w:t>
            </w:r>
            <w:r>
              <w:rPr>
                <w:rFonts w:hint="eastAsia" w:ascii="彩虹粗仿宋" w:eastAsia="彩虹粗仿宋"/>
                <w:szCs w:val="21"/>
              </w:rPr>
              <w:t>日</w:t>
            </w:r>
          </w:p>
        </w:tc>
      </w:tr>
    </w:tbl>
    <w:p w14:paraId="22B2C624">
      <w:pPr>
        <w:pStyle w:val="4"/>
        <w:spacing w:before="0" w:beforeAutospacing="0" w:after="0" w:afterAutospacing="0"/>
        <w:rPr>
          <w:rFonts w:ascii="彩虹粗仿宋" w:hAnsi="微软雅黑" w:eastAsia="彩虹粗仿宋"/>
          <w:color w:val="333333"/>
          <w:sz w:val="32"/>
          <w:szCs w:val="32"/>
        </w:rPr>
      </w:pPr>
    </w:p>
    <w:p w14:paraId="7968DAA9">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自优惠结束日后，销售费率和管理费率恢复至原费率水平。</w:t>
      </w:r>
    </w:p>
    <w:p w14:paraId="7007A37D">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76D54DDF">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ascii="彩虹粗仿宋" w:hAnsi="微软雅黑" w:eastAsia="彩虹粗仿宋"/>
          <w:color w:val="333333"/>
          <w:sz w:val="32"/>
          <w:szCs w:val="32"/>
        </w:rPr>
        <w:t>建信理财有限责任公司将本着勤勉尽职的原则持续为您提供专业化理财服务。</w:t>
      </w:r>
    </w:p>
    <w:p w14:paraId="1AEC125D">
      <w:pPr>
        <w:spacing w:line="360" w:lineRule="auto"/>
        <w:ind w:firstLine="640" w:firstLineChars="200"/>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42AA50D7">
      <w:pPr>
        <w:ind w:firstLine="646" w:firstLineChars="202"/>
        <w:rPr>
          <w:rFonts w:ascii="彩虹粗仿宋" w:hAnsi="微软雅黑" w:eastAsia="彩虹粗仿宋" w:cs="宋体"/>
          <w:color w:val="333333"/>
          <w:kern w:val="0"/>
          <w:sz w:val="32"/>
          <w:szCs w:val="32"/>
        </w:rPr>
      </w:pPr>
    </w:p>
    <w:p w14:paraId="70194F75">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7788545E">
      <w:pPr>
        <w:ind w:firstLine="646" w:firstLineChars="202"/>
        <w:jc w:val="right"/>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 xml:space="preserve">年 </w:t>
      </w:r>
      <w:r>
        <w:rPr>
          <w:rFonts w:hint="eastAsia" w:ascii="彩虹粗仿宋" w:hAnsi="微软雅黑" w:eastAsia="彩虹粗仿宋" w:cs="宋体"/>
          <w:color w:val="333333"/>
          <w:kern w:val="0"/>
          <w:sz w:val="32"/>
          <w:szCs w:val="32"/>
        </w:rPr>
        <w:t>8</w:t>
      </w:r>
      <w:r>
        <w:rPr>
          <w:rFonts w:ascii="彩虹粗仿宋" w:hAnsi="微软雅黑" w:eastAsia="彩虹粗仿宋" w:cs="宋体"/>
          <w:color w:val="333333"/>
          <w:kern w:val="0"/>
          <w:sz w:val="32"/>
          <w:szCs w:val="32"/>
        </w:rPr>
        <w:t xml:space="preserve">月 </w:t>
      </w:r>
      <w:r>
        <w:rPr>
          <w:rFonts w:hint="eastAsia" w:ascii="彩虹粗仿宋" w:hAnsi="微软雅黑" w:eastAsia="彩虹粗仿宋" w:cs="宋体"/>
          <w:color w:val="333333"/>
          <w:kern w:val="0"/>
          <w:sz w:val="32"/>
          <w:szCs w:val="32"/>
          <w:lang w:val="en-US" w:eastAsia="zh-CN"/>
        </w:rPr>
        <w:t>12</w:t>
      </w:r>
      <w:bookmarkStart w:id="0" w:name="_GoBack"/>
      <w:bookmarkEnd w:id="0"/>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745C97"/>
    <w:rsid w:val="008F30F8"/>
    <w:rsid w:val="00942DCA"/>
    <w:rsid w:val="00D12E54"/>
    <w:rsid w:val="00D84CED"/>
    <w:rsid w:val="039936E4"/>
    <w:rsid w:val="07E86C40"/>
    <w:rsid w:val="08F316BF"/>
    <w:rsid w:val="098655BC"/>
    <w:rsid w:val="0A1217C2"/>
    <w:rsid w:val="0DFB7091"/>
    <w:rsid w:val="12504506"/>
    <w:rsid w:val="154F5DA1"/>
    <w:rsid w:val="194D5F57"/>
    <w:rsid w:val="19F822FB"/>
    <w:rsid w:val="1C3F2267"/>
    <w:rsid w:val="24C20D54"/>
    <w:rsid w:val="25B811EE"/>
    <w:rsid w:val="25E67C21"/>
    <w:rsid w:val="2B215313"/>
    <w:rsid w:val="2C856399"/>
    <w:rsid w:val="33487838"/>
    <w:rsid w:val="366F06AF"/>
    <w:rsid w:val="38A7009D"/>
    <w:rsid w:val="3B802B90"/>
    <w:rsid w:val="3EAB715E"/>
    <w:rsid w:val="40E5584A"/>
    <w:rsid w:val="45673698"/>
    <w:rsid w:val="46143433"/>
    <w:rsid w:val="461C5E16"/>
    <w:rsid w:val="47532DA2"/>
    <w:rsid w:val="49553C3F"/>
    <w:rsid w:val="506D41B7"/>
    <w:rsid w:val="50C75131"/>
    <w:rsid w:val="51F34B83"/>
    <w:rsid w:val="5D7259E3"/>
    <w:rsid w:val="61024C7E"/>
    <w:rsid w:val="62F27379"/>
    <w:rsid w:val="66094DF3"/>
    <w:rsid w:val="69130921"/>
    <w:rsid w:val="69EB3B55"/>
    <w:rsid w:val="6A7B4E5D"/>
    <w:rsid w:val="6B7B5F97"/>
    <w:rsid w:val="6DF734E2"/>
    <w:rsid w:val="74895F66"/>
    <w:rsid w:val="74FC2BFE"/>
    <w:rsid w:val="78E26444"/>
    <w:rsid w:val="79B252CA"/>
    <w:rsid w:val="7BE0414B"/>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137</Words>
  <Characters>785</Characters>
  <Lines>6</Lines>
  <Paragraphs>1</Paragraphs>
  <TotalTime>1</TotalTime>
  <ScaleCrop>false</ScaleCrop>
  <LinksUpToDate>false</LinksUpToDate>
  <CharactersWithSpaces>921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2026-04-21T01:18:00Z</dcterms:created>
  <dc:creator>jxlc</dc:creator>
  <cp:lastModifiedBy>kk</cp:lastModifiedBy>
  <dcterms:modified xsi:type="dcterms:W3CDTF">2026-08-10T01:19:43Z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