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0D1367">
      <w:pPr>
        <w:widowControl/>
        <w:spacing w:before="100" w:beforeAutospacing="1" w:after="100" w:afterAutospacing="1" w:line="460" w:lineRule="atLeast"/>
        <w:jc w:val="center"/>
        <w:rPr>
          <w:rFonts w:hint="eastAsia" w:ascii="宋体" w:hAnsi="宋体" w:eastAsia="宋体" w:cs="Arial"/>
          <w:b/>
          <w:color w:val="000000"/>
          <w:kern w:val="0"/>
          <w:szCs w:val="21"/>
          <w:lang w:val="en-US" w:eastAsia="zh-CN"/>
        </w:rPr>
      </w:pPr>
      <w:r>
        <w:rPr>
          <w:rFonts w:hint="eastAsia" w:ascii="宋体" w:hAnsi="宋体" w:eastAsia="宋体" w:cs="Arial"/>
          <w:b/>
          <w:color w:val="000000"/>
          <w:kern w:val="0"/>
          <w:szCs w:val="21"/>
        </w:rPr>
        <w:t>关</w:t>
      </w:r>
      <w:r>
        <w:rPr>
          <w:rFonts w:hint="eastAsia" w:ascii="宋体" w:hAnsi="宋体" w:eastAsia="宋体" w:cs="Arial"/>
          <w:b/>
          <w:color w:val="000000"/>
          <w:kern w:val="0"/>
          <w:szCs w:val="21"/>
          <w:lang w:val="en-US" w:eastAsia="zh-CN"/>
        </w:rPr>
        <w:t>于建信理财嘉鑫（增利）固收类最低持有90天产品第25期管理费率优惠</w:t>
      </w:r>
      <w:r>
        <w:rPr>
          <w:rFonts w:hint="eastAsia" w:ascii="宋体" w:hAnsi="宋体" w:eastAsia="宋体" w:cs="Arial"/>
          <w:b/>
          <w:color w:val="000000"/>
          <w:kern w:val="0"/>
          <w:szCs w:val="21"/>
        </w:rPr>
        <w:t>的公告</w:t>
      </w:r>
    </w:p>
    <w:p w14:paraId="04D52AA8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60" w:lineRule="atLeast"/>
        <w:rPr>
          <w:rFonts w:ascii="微软雅黑" w:hAnsi="微软雅黑" w:eastAsia="微软雅黑" w:cs="Arial"/>
          <w:color w:val="666666"/>
          <w:sz w:val="21"/>
          <w:szCs w:val="21"/>
        </w:rPr>
      </w:pPr>
      <w:r>
        <w:rPr>
          <w:rFonts w:hint="eastAsia" w:cs="Arial"/>
          <w:color w:val="000000"/>
          <w:sz w:val="21"/>
          <w:szCs w:val="21"/>
        </w:rPr>
        <w:t>尊敬的客户：</w:t>
      </w:r>
    </w:p>
    <w:p w14:paraId="4D961771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60" w:lineRule="atLeast"/>
        <w:ind w:firstLine="420"/>
        <w:rPr>
          <w:rFonts w:cs="Arial"/>
          <w:color w:val="000000"/>
          <w:sz w:val="21"/>
          <w:szCs w:val="21"/>
        </w:rPr>
      </w:pPr>
      <w:r>
        <w:rPr>
          <w:rFonts w:hint="eastAsia" w:cs="Arial"/>
          <w:color w:val="000000"/>
          <w:sz w:val="21"/>
          <w:szCs w:val="21"/>
        </w:rPr>
        <w:t>为更好地为客户提供投资理财服务，建信理</w:t>
      </w:r>
      <w:r>
        <w:rPr>
          <w:rFonts w:hint="eastAsia" w:cs="Arial"/>
          <w:color w:val="000000"/>
          <w:sz w:val="21"/>
          <w:szCs w:val="21"/>
          <w:lang w:val="en-US" w:eastAsia="zh-CN"/>
        </w:rPr>
        <w:t>财有限责任公司拟对建信理财嘉鑫（增利）固收类最低持有90天产品第25期管理费率进行优惠，</w:t>
      </w:r>
      <w:r>
        <w:rPr>
          <w:rFonts w:hint="eastAsia" w:cs="Arial"/>
          <w:color w:val="000000"/>
          <w:sz w:val="21"/>
          <w:szCs w:val="21"/>
        </w:rPr>
        <w:t>具体调整内容如下：</w:t>
      </w:r>
    </w:p>
    <w:tbl>
      <w:tblPr>
        <w:tblStyle w:val="3"/>
        <w:tblW w:w="4319" w:type="pct"/>
        <w:jc w:val="center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double" w:color="auto" w:sz="4" w:space="0"/>
          <w:insideV w:val="doub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66"/>
        <w:gridCol w:w="1915"/>
        <w:gridCol w:w="2023"/>
        <w:gridCol w:w="2076"/>
        <w:gridCol w:w="1771"/>
        <w:gridCol w:w="1794"/>
      </w:tblGrid>
      <w:tr w14:paraId="61378222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uble" w:color="auto" w:sz="4" w:space="0"/>
            <w:insideV w:val="doub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  <w:tblHeader/>
          <w:jc w:val="center"/>
        </w:trPr>
        <w:tc>
          <w:tcPr>
            <w:tcW w:w="2666" w:type="dxa"/>
            <w:vMerge w:val="restart"/>
            <w:vAlign w:val="center"/>
          </w:tcPr>
          <w:p w14:paraId="17F1658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/>
                <w:color w:val="000000"/>
                <w:sz w:val="18"/>
                <w:szCs w:val="18"/>
              </w:rPr>
            </w:pPr>
            <w:r>
              <w:rPr>
                <w:rStyle w:val="5"/>
                <w:rFonts w:hint="eastAsia" w:ascii="Times New Roman" w:hAnsi="Times New Roman" w:eastAsia="宋体" w:cs="Arial"/>
                <w:color w:val="000000"/>
                <w:sz w:val="18"/>
                <w:szCs w:val="18"/>
              </w:rPr>
              <w:t>产品名称</w:t>
            </w:r>
          </w:p>
        </w:tc>
        <w:tc>
          <w:tcPr>
            <w:tcW w:w="1915" w:type="dxa"/>
            <w:vMerge w:val="restart"/>
            <w:vAlign w:val="center"/>
          </w:tcPr>
          <w:p w14:paraId="560934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Style w:val="5"/>
                <w:rFonts w:hint="eastAsia" w:cs="Arial"/>
                <w:color w:val="000000"/>
                <w:sz w:val="18"/>
                <w:szCs w:val="18"/>
              </w:rPr>
              <w:t>全国银行业理财信息登记系统编号</w:t>
            </w:r>
          </w:p>
        </w:tc>
        <w:tc>
          <w:tcPr>
            <w:tcW w:w="2023" w:type="dxa"/>
            <w:vMerge w:val="restart"/>
            <w:vAlign w:val="center"/>
          </w:tcPr>
          <w:p w14:paraId="0CACA5DB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atLeast"/>
              <w:jc w:val="center"/>
              <w:rPr>
                <w:rFonts w:hint="default" w:ascii="Arial" w:hAnsi="Arial" w:eastAsia="宋体" w:cs="Arial"/>
                <w:color w:val="666666"/>
                <w:sz w:val="18"/>
                <w:szCs w:val="18"/>
                <w:lang w:val="en-US" w:eastAsia="zh-CN"/>
              </w:rPr>
            </w:pPr>
            <w:r>
              <w:rPr>
                <w:rStyle w:val="5"/>
                <w:rFonts w:hint="eastAsia" w:cs="Arial"/>
                <w:color w:val="000000"/>
                <w:sz w:val="18"/>
                <w:szCs w:val="18"/>
                <w:lang w:val="en-US" w:eastAsia="zh-CN"/>
              </w:rPr>
              <w:t>优惠</w:t>
            </w:r>
            <w:r>
              <w:rPr>
                <w:rStyle w:val="5"/>
                <w:rFonts w:hint="eastAsia" w:cs="Arial"/>
                <w:color w:val="000000"/>
                <w:sz w:val="18"/>
                <w:szCs w:val="18"/>
              </w:rPr>
              <w:t>起始日</w:t>
            </w:r>
            <w:r>
              <w:rPr>
                <w:rStyle w:val="5"/>
                <w:rFonts w:hint="eastAsia" w:cs="Arial"/>
                <w:color w:val="000000"/>
                <w:sz w:val="18"/>
                <w:szCs w:val="18"/>
                <w:lang w:eastAsia="zh-CN"/>
              </w:rPr>
              <w:t>（</w:t>
            </w:r>
            <w:r>
              <w:rPr>
                <w:rStyle w:val="5"/>
                <w:rFonts w:hint="eastAsia" w:cs="Arial"/>
                <w:color w:val="000000"/>
                <w:sz w:val="18"/>
                <w:szCs w:val="18"/>
                <w:lang w:val="en-US" w:eastAsia="zh-CN"/>
              </w:rPr>
              <w:t>含）</w:t>
            </w:r>
          </w:p>
        </w:tc>
        <w:tc>
          <w:tcPr>
            <w:tcW w:w="2076" w:type="dxa"/>
            <w:vMerge w:val="restart"/>
            <w:vAlign w:val="center"/>
          </w:tcPr>
          <w:p w14:paraId="71B95EC9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atLeast"/>
              <w:jc w:val="center"/>
              <w:rPr>
                <w:rFonts w:hint="default" w:ascii="Arial" w:hAnsi="Arial" w:eastAsia="宋体" w:cs="Arial"/>
                <w:color w:val="666666"/>
                <w:sz w:val="18"/>
                <w:szCs w:val="18"/>
                <w:lang w:val="en-US" w:eastAsia="zh-CN"/>
              </w:rPr>
            </w:pPr>
            <w:r>
              <w:rPr>
                <w:rStyle w:val="5"/>
                <w:rFonts w:hint="eastAsia" w:cs="Arial"/>
                <w:color w:val="000000"/>
                <w:sz w:val="18"/>
                <w:szCs w:val="18"/>
                <w:lang w:val="en-US" w:eastAsia="zh-CN"/>
              </w:rPr>
              <w:t>优惠结束</w:t>
            </w:r>
            <w:r>
              <w:rPr>
                <w:rStyle w:val="5"/>
                <w:rFonts w:hint="eastAsia" w:cs="Arial"/>
                <w:color w:val="000000"/>
                <w:sz w:val="18"/>
                <w:szCs w:val="18"/>
              </w:rPr>
              <w:t>日</w:t>
            </w:r>
            <w:r>
              <w:rPr>
                <w:rStyle w:val="5"/>
                <w:rFonts w:hint="eastAsia" w:cs="Arial"/>
                <w:color w:val="000000"/>
                <w:sz w:val="18"/>
                <w:szCs w:val="18"/>
                <w:lang w:eastAsia="zh-CN"/>
              </w:rPr>
              <w:t>（</w:t>
            </w:r>
            <w:r>
              <w:rPr>
                <w:rStyle w:val="5"/>
                <w:rFonts w:hint="eastAsia" w:cs="Arial"/>
                <w:color w:val="000000"/>
                <w:sz w:val="18"/>
                <w:szCs w:val="18"/>
                <w:lang w:val="en-US" w:eastAsia="zh-CN"/>
              </w:rPr>
              <w:t>含）</w:t>
            </w:r>
          </w:p>
        </w:tc>
        <w:tc>
          <w:tcPr>
            <w:tcW w:w="3565" w:type="dxa"/>
            <w:gridSpan w:val="2"/>
            <w:vAlign w:val="center"/>
          </w:tcPr>
          <w:p w14:paraId="2351C94A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atLeast"/>
              <w:jc w:val="center"/>
              <w:rPr>
                <w:rStyle w:val="5"/>
                <w:color w:val="000000"/>
              </w:rPr>
            </w:pPr>
            <w:r>
              <w:rPr>
                <w:rStyle w:val="5"/>
                <w:rFonts w:hint="eastAsia" w:cs="Arial"/>
                <w:color w:val="000000"/>
                <w:sz w:val="18"/>
                <w:szCs w:val="18"/>
              </w:rPr>
              <w:t>管理费率（年化）</w:t>
            </w:r>
          </w:p>
        </w:tc>
      </w:tr>
      <w:tr w14:paraId="7985BD43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uble" w:color="auto" w:sz="4" w:space="0"/>
            <w:insideV w:val="doub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  <w:tblHeader/>
          <w:jc w:val="center"/>
        </w:trPr>
        <w:tc>
          <w:tcPr>
            <w:tcW w:w="2666" w:type="dxa"/>
            <w:vMerge w:val="continue"/>
            <w:vAlign w:val="center"/>
          </w:tcPr>
          <w:p w14:paraId="71607D0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/>
                <w:color w:val="000000"/>
                <w:sz w:val="18"/>
                <w:szCs w:val="18"/>
              </w:rPr>
            </w:pPr>
          </w:p>
        </w:tc>
        <w:tc>
          <w:tcPr>
            <w:tcW w:w="1915" w:type="dxa"/>
            <w:vMerge w:val="continue"/>
            <w:vAlign w:val="center"/>
          </w:tcPr>
          <w:p w14:paraId="7953AD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023" w:type="dxa"/>
            <w:vMerge w:val="continue"/>
            <w:vAlign w:val="center"/>
          </w:tcPr>
          <w:p w14:paraId="4B4605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ascii="Arial" w:hAnsi="Arial" w:eastAsia="宋体" w:cs="Arial"/>
                <w:color w:val="666666"/>
                <w:kern w:val="0"/>
                <w:sz w:val="18"/>
                <w:szCs w:val="18"/>
              </w:rPr>
            </w:pPr>
          </w:p>
        </w:tc>
        <w:tc>
          <w:tcPr>
            <w:tcW w:w="2076" w:type="dxa"/>
            <w:vMerge w:val="continue"/>
            <w:vAlign w:val="center"/>
          </w:tcPr>
          <w:p w14:paraId="5B1DAA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ascii="Arial" w:hAnsi="Arial" w:eastAsia="宋体" w:cs="Arial"/>
                <w:color w:val="666666"/>
                <w:kern w:val="0"/>
                <w:sz w:val="18"/>
                <w:szCs w:val="18"/>
              </w:rPr>
            </w:pPr>
          </w:p>
        </w:tc>
        <w:tc>
          <w:tcPr>
            <w:tcW w:w="1771" w:type="dxa"/>
            <w:vAlign w:val="center"/>
          </w:tcPr>
          <w:p w14:paraId="518B5324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atLeast"/>
              <w:jc w:val="center"/>
              <w:rPr>
                <w:rStyle w:val="5"/>
                <w:rFonts w:cs="Arial"/>
                <w:color w:val="000000"/>
                <w:sz w:val="18"/>
                <w:szCs w:val="18"/>
              </w:rPr>
            </w:pPr>
            <w:r>
              <w:rPr>
                <w:rStyle w:val="5"/>
                <w:rFonts w:hint="eastAsia" w:cs="Arial"/>
                <w:color w:val="000000"/>
                <w:sz w:val="18"/>
                <w:szCs w:val="18"/>
                <w:lang w:val="en-US" w:eastAsia="zh-CN"/>
              </w:rPr>
              <w:t>优惠</w:t>
            </w:r>
            <w:r>
              <w:rPr>
                <w:rStyle w:val="5"/>
                <w:rFonts w:hint="eastAsia" w:cs="Arial"/>
                <w:color w:val="000000"/>
                <w:sz w:val="18"/>
                <w:szCs w:val="18"/>
              </w:rPr>
              <w:t>前</w:t>
            </w:r>
          </w:p>
        </w:tc>
        <w:tc>
          <w:tcPr>
            <w:tcW w:w="1794" w:type="dxa"/>
            <w:vAlign w:val="center"/>
          </w:tcPr>
          <w:p w14:paraId="78E38C2B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atLeast"/>
              <w:jc w:val="center"/>
              <w:rPr>
                <w:rStyle w:val="5"/>
                <w:rFonts w:cs="Arial"/>
                <w:color w:val="000000"/>
                <w:sz w:val="18"/>
                <w:szCs w:val="18"/>
              </w:rPr>
            </w:pPr>
            <w:r>
              <w:rPr>
                <w:rStyle w:val="5"/>
                <w:rFonts w:hint="eastAsia" w:cs="Arial"/>
                <w:color w:val="000000"/>
                <w:sz w:val="18"/>
                <w:szCs w:val="18"/>
                <w:lang w:val="en-US" w:eastAsia="zh-CN"/>
              </w:rPr>
              <w:t>优惠</w:t>
            </w:r>
            <w:r>
              <w:rPr>
                <w:rStyle w:val="5"/>
                <w:rFonts w:hint="eastAsia" w:cs="Arial"/>
                <w:color w:val="000000"/>
                <w:sz w:val="18"/>
                <w:szCs w:val="18"/>
              </w:rPr>
              <w:t>后</w:t>
            </w:r>
          </w:p>
        </w:tc>
      </w:tr>
      <w:tr w14:paraId="46F5D398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uble" w:color="auto" w:sz="4" w:space="0"/>
            <w:insideV w:val="doub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  <w:jc w:val="center"/>
        </w:trPr>
        <w:tc>
          <w:tcPr>
            <w:tcW w:w="2666" w:type="dxa"/>
            <w:vAlign w:val="center"/>
          </w:tcPr>
          <w:p w14:paraId="46F3A3B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建信理财嘉鑫（增利）固收类最低持有90天产品第25期</w:t>
            </w:r>
          </w:p>
        </w:tc>
        <w:tc>
          <w:tcPr>
            <w:tcW w:w="1915" w:type="dxa"/>
            <w:vAlign w:val="center"/>
          </w:tcPr>
          <w:p w14:paraId="2AFC314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Z7000726001718</w:t>
            </w:r>
          </w:p>
        </w:tc>
        <w:tc>
          <w:tcPr>
            <w:tcW w:w="2023" w:type="dxa"/>
            <w:vAlign w:val="center"/>
          </w:tcPr>
          <w:p w14:paraId="22E60F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202</w:t>
            </w: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/>
                <w:color w:val="000000"/>
                <w:sz w:val="18"/>
                <w:szCs w:val="18"/>
              </w:rPr>
              <w:t>年</w:t>
            </w: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8</w:t>
            </w:r>
            <w:r>
              <w:rPr>
                <w:rFonts w:hint="eastAsia"/>
                <w:color w:val="000000"/>
                <w:sz w:val="18"/>
                <w:szCs w:val="18"/>
              </w:rPr>
              <w:t>月</w:t>
            </w: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25</w:t>
            </w:r>
            <w:r>
              <w:rPr>
                <w:rFonts w:hint="eastAsia"/>
                <w:color w:val="000000"/>
                <w:sz w:val="18"/>
                <w:szCs w:val="18"/>
              </w:rPr>
              <w:t>日</w:t>
            </w:r>
          </w:p>
        </w:tc>
        <w:tc>
          <w:tcPr>
            <w:tcW w:w="2076" w:type="dxa"/>
            <w:vAlign w:val="center"/>
          </w:tcPr>
          <w:p w14:paraId="6A04874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202</w:t>
            </w: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/>
                <w:color w:val="000000"/>
                <w:sz w:val="18"/>
                <w:szCs w:val="18"/>
              </w:rPr>
              <w:t>年</w:t>
            </w: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11</w:t>
            </w:r>
            <w:r>
              <w:rPr>
                <w:rFonts w:hint="eastAsia"/>
                <w:color w:val="000000"/>
                <w:sz w:val="18"/>
                <w:szCs w:val="18"/>
              </w:rPr>
              <w:t>月</w:t>
            </w: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25</w:t>
            </w:r>
            <w:r>
              <w:rPr>
                <w:rFonts w:hint="eastAsia"/>
                <w:color w:val="000000"/>
                <w:sz w:val="18"/>
                <w:szCs w:val="18"/>
              </w:rPr>
              <w:t>日</w:t>
            </w:r>
          </w:p>
        </w:tc>
        <w:tc>
          <w:tcPr>
            <w:tcW w:w="1771" w:type="dxa"/>
            <w:vAlign w:val="center"/>
          </w:tcPr>
          <w:p w14:paraId="48D9A8A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0.</w:t>
            </w: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2</w:t>
            </w:r>
            <w:r>
              <w:rPr>
                <w:rFonts w:hint="eastAsia"/>
                <w:color w:val="000000"/>
                <w:sz w:val="18"/>
                <w:szCs w:val="18"/>
              </w:rPr>
              <w:t>0%</w:t>
            </w:r>
          </w:p>
        </w:tc>
        <w:tc>
          <w:tcPr>
            <w:tcW w:w="1794" w:type="dxa"/>
            <w:vAlign w:val="center"/>
          </w:tcPr>
          <w:p w14:paraId="659EFA6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0.</w:t>
            </w: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10</w:t>
            </w:r>
            <w:r>
              <w:rPr>
                <w:rFonts w:hint="eastAsia"/>
                <w:color w:val="000000"/>
                <w:sz w:val="18"/>
                <w:szCs w:val="18"/>
              </w:rPr>
              <w:t>%</w:t>
            </w:r>
          </w:p>
        </w:tc>
      </w:tr>
    </w:tbl>
    <w:p w14:paraId="53C04E10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60" w:lineRule="atLeast"/>
        <w:ind w:firstLine="420"/>
        <w:rPr>
          <w:rFonts w:cs="Arial"/>
          <w:color w:val="000000"/>
          <w:sz w:val="21"/>
          <w:szCs w:val="21"/>
        </w:rPr>
      </w:pPr>
      <w:r>
        <w:rPr>
          <w:rFonts w:hint="eastAsia" w:cs="Arial"/>
          <w:color w:val="000000"/>
          <w:sz w:val="21"/>
          <w:szCs w:val="21"/>
        </w:rPr>
        <w:t>自</w:t>
      </w:r>
      <w:r>
        <w:rPr>
          <w:rFonts w:hint="eastAsia" w:cs="Arial"/>
          <w:color w:val="000000"/>
          <w:sz w:val="21"/>
          <w:szCs w:val="21"/>
          <w:lang w:val="en-US" w:eastAsia="zh-CN"/>
        </w:rPr>
        <w:t>优惠结束日</w:t>
      </w:r>
      <w:r>
        <w:rPr>
          <w:rFonts w:hint="eastAsia" w:cs="Arial"/>
          <w:color w:val="000000"/>
          <w:sz w:val="21"/>
          <w:szCs w:val="21"/>
        </w:rPr>
        <w:t>后，管理费率恢复至</w:t>
      </w:r>
      <w:r>
        <w:rPr>
          <w:rFonts w:hint="eastAsia" w:cs="Arial"/>
          <w:color w:val="000000"/>
          <w:sz w:val="21"/>
          <w:szCs w:val="21"/>
          <w:lang w:val="en-US" w:eastAsia="zh-CN"/>
        </w:rPr>
        <w:t>本次优惠前的</w:t>
      </w:r>
      <w:r>
        <w:rPr>
          <w:rFonts w:hint="eastAsia" w:cs="Arial"/>
          <w:color w:val="000000"/>
          <w:sz w:val="21"/>
          <w:szCs w:val="21"/>
        </w:rPr>
        <w:t>费率水平。</w:t>
      </w:r>
    </w:p>
    <w:p w14:paraId="49485491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60" w:lineRule="atLeast"/>
        <w:ind w:firstLine="420"/>
        <w:rPr>
          <w:rFonts w:ascii="微软雅黑" w:hAnsi="微软雅黑" w:eastAsia="微软雅黑" w:cs="Arial"/>
          <w:color w:val="666666"/>
          <w:sz w:val="21"/>
          <w:szCs w:val="21"/>
        </w:rPr>
      </w:pPr>
      <w:r>
        <w:rPr>
          <w:rFonts w:hint="eastAsia" w:cs="Arial"/>
          <w:color w:val="000000"/>
          <w:sz w:val="21"/>
          <w:szCs w:val="21"/>
        </w:rPr>
        <w:t>本公告未提及事宜，按原产品说明书</w:t>
      </w:r>
      <w:bookmarkStart w:id="0" w:name="_GoBack"/>
      <w:bookmarkEnd w:id="0"/>
      <w:r>
        <w:rPr>
          <w:rFonts w:hint="eastAsia" w:cs="Arial"/>
          <w:color w:val="000000"/>
          <w:sz w:val="21"/>
          <w:szCs w:val="21"/>
        </w:rPr>
        <w:t>和风险揭示书的约定执行。</w:t>
      </w:r>
    </w:p>
    <w:p w14:paraId="57192C05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60" w:lineRule="atLeast"/>
        <w:ind w:firstLine="420"/>
        <w:rPr>
          <w:rFonts w:hint="eastAsia" w:cs="Arial"/>
          <w:color w:val="000000"/>
          <w:sz w:val="21"/>
          <w:szCs w:val="21"/>
        </w:rPr>
      </w:pPr>
      <w:r>
        <w:rPr>
          <w:rFonts w:hint="eastAsia" w:ascii="微软雅黑" w:hAnsi="微软雅黑" w:eastAsia="微软雅黑" w:cs="Arial"/>
          <w:color w:val="666666"/>
          <w:sz w:val="21"/>
          <w:szCs w:val="21"/>
        </w:rPr>
        <w:t> </w:t>
      </w:r>
      <w:r>
        <w:rPr>
          <w:rFonts w:hint="eastAsia" w:cs="Arial"/>
          <w:color w:val="000000"/>
          <w:sz w:val="21"/>
          <w:szCs w:val="21"/>
        </w:rPr>
        <w:t>特此公告</w:t>
      </w:r>
    </w:p>
    <w:p w14:paraId="6CC573A4">
      <w:pPr>
        <w:pStyle w:val="2"/>
        <w:snapToGrid w:val="0"/>
        <w:spacing w:before="0" w:beforeAutospacing="0" w:after="0" w:afterAutospacing="0" w:line="460" w:lineRule="atLeast"/>
        <w:ind w:firstLine="420"/>
        <w:jc w:val="right"/>
        <w:rPr>
          <w:rFonts w:cs="Arial" w:asciiTheme="minorEastAsia" w:hAnsiTheme="minorEastAsia" w:eastAsiaTheme="minorEastAsia"/>
          <w:color w:val="666666"/>
          <w:sz w:val="21"/>
          <w:szCs w:val="21"/>
        </w:rPr>
      </w:pPr>
      <w:r>
        <w:rPr>
          <w:rFonts w:hint="eastAsia" w:cs="Arial" w:asciiTheme="minorEastAsia" w:hAnsiTheme="minorEastAsia" w:eastAsiaTheme="minorEastAsia"/>
          <w:color w:val="000000"/>
          <w:sz w:val="21"/>
          <w:szCs w:val="21"/>
        </w:rPr>
        <w:t>建信理财有限责任公司</w:t>
      </w:r>
    </w:p>
    <w:p w14:paraId="44EF84A7">
      <w:pPr>
        <w:pStyle w:val="2"/>
        <w:snapToGrid w:val="0"/>
        <w:spacing w:before="0" w:beforeAutospacing="0" w:after="0" w:afterAutospacing="0" w:line="460" w:lineRule="atLeast"/>
        <w:ind w:firstLine="420"/>
        <w:jc w:val="center"/>
      </w:pPr>
      <w:r>
        <w:rPr>
          <w:rFonts w:hint="eastAsia" w:cs="Arial" w:asciiTheme="minorEastAsia" w:hAnsiTheme="minorEastAsia" w:eastAsiaTheme="minorEastAsia"/>
          <w:color w:val="000000"/>
          <w:sz w:val="21"/>
          <w:szCs w:val="21"/>
          <w:lang w:val="en-US" w:eastAsia="zh-CN"/>
        </w:rPr>
        <w:t xml:space="preserve">                                                                                                             </w:t>
      </w:r>
      <w:r>
        <w:rPr>
          <w:rFonts w:hint="eastAsia" w:cs="Arial" w:asciiTheme="minorEastAsia" w:hAnsiTheme="minorEastAsia" w:eastAsiaTheme="minorEastAsia"/>
          <w:color w:val="000000"/>
          <w:sz w:val="21"/>
          <w:szCs w:val="21"/>
        </w:rPr>
        <w:t>202</w:t>
      </w:r>
      <w:r>
        <w:rPr>
          <w:rFonts w:hint="eastAsia" w:cs="Arial" w:asciiTheme="minorEastAsia" w:hAnsiTheme="minorEastAsia" w:eastAsiaTheme="minorEastAsia"/>
          <w:color w:val="000000"/>
          <w:sz w:val="21"/>
          <w:szCs w:val="21"/>
          <w:lang w:val="en-US" w:eastAsia="zh-CN"/>
        </w:rPr>
        <w:t>6</w:t>
      </w:r>
      <w:r>
        <w:rPr>
          <w:rFonts w:hint="eastAsia" w:cs="Arial" w:asciiTheme="minorEastAsia" w:hAnsiTheme="minorEastAsia" w:eastAsiaTheme="minorEastAsia"/>
          <w:color w:val="000000"/>
          <w:sz w:val="21"/>
          <w:szCs w:val="21"/>
        </w:rPr>
        <w:t>年</w:t>
      </w:r>
      <w:r>
        <w:rPr>
          <w:rFonts w:hint="eastAsia" w:cs="Arial" w:asciiTheme="minorEastAsia" w:hAnsiTheme="minorEastAsia" w:eastAsiaTheme="minorEastAsia"/>
          <w:color w:val="000000"/>
          <w:sz w:val="21"/>
          <w:szCs w:val="21"/>
          <w:lang w:val="en-US" w:eastAsia="zh-CN"/>
        </w:rPr>
        <w:t>8</w:t>
      </w:r>
      <w:r>
        <w:rPr>
          <w:rFonts w:hint="eastAsia" w:cs="Arial" w:asciiTheme="minorEastAsia" w:hAnsiTheme="minorEastAsia" w:eastAsiaTheme="minorEastAsia"/>
          <w:color w:val="000000"/>
          <w:sz w:val="21"/>
          <w:szCs w:val="21"/>
        </w:rPr>
        <w:t>月</w:t>
      </w:r>
      <w:r>
        <w:rPr>
          <w:rFonts w:hint="eastAsia" w:cs="Arial" w:asciiTheme="minorEastAsia" w:hAnsiTheme="minorEastAsia" w:eastAsiaTheme="minorEastAsia"/>
          <w:color w:val="000000"/>
          <w:sz w:val="21"/>
          <w:szCs w:val="21"/>
          <w:lang w:val="en-US" w:eastAsia="zh-CN"/>
        </w:rPr>
        <w:t>21</w:t>
      </w:r>
      <w:r>
        <w:rPr>
          <w:rFonts w:hint="eastAsia" w:cs="Arial" w:asciiTheme="minorEastAsia" w:hAnsiTheme="minorEastAsia" w:eastAsiaTheme="minorEastAsia"/>
          <w:color w:val="000000"/>
          <w:sz w:val="21"/>
          <w:szCs w:val="21"/>
        </w:rPr>
        <w:t>日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CB2E50"/>
    <w:rsid w:val="01A61B07"/>
    <w:rsid w:val="08197FE1"/>
    <w:rsid w:val="14352151"/>
    <w:rsid w:val="22F8694F"/>
    <w:rsid w:val="2A8C7D5D"/>
    <w:rsid w:val="2C0E7F56"/>
    <w:rsid w:val="33305A69"/>
    <w:rsid w:val="394D2B5B"/>
    <w:rsid w:val="3ABF48DF"/>
    <w:rsid w:val="3E7A2A81"/>
    <w:rsid w:val="3E8C3E12"/>
    <w:rsid w:val="4A3070C4"/>
    <w:rsid w:val="4C4F20AE"/>
    <w:rsid w:val="54CB2E50"/>
    <w:rsid w:val="5C935F1B"/>
    <w:rsid w:val="747B3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5">
    <w:name w:val="Strong"/>
    <w:basedOn w:val="4"/>
    <w:qFormat/>
    <w:uiPriority w:val="22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Office_12.8.2.18205_F1E327BC-269C-435d-A152-05C5408002CA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2024-11-11T01:06:00Z</dcterms:created>
  <dc:creator>jxlc</dc:creator>
  <cp:lastModifiedBy>陈文君</cp:lastModifiedBy>
  <dcterms:modified xsi:type="dcterms:W3CDTF">2026-08-20T09:39:57Z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2052-12.8.2.18205</vt:lpwstr>
  </property>
  <property fmtid="{D5CDD505-2E9C-101B-9397-08002B2CF9AE}" pid="3" name="ICV">
    <vt:lpwstr>859EEBD31C9844748050A6853664352D_13</vt:lpwstr>
  </property>
</Properties>
</file>