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4AAA0">
      <w:pPr>
        <w:jc w:val="center"/>
        <w:rPr>
          <w:rFonts w:hint="eastAsia" w:ascii="彩虹小标宋" w:eastAsia="彩虹小标宋"/>
          <w:sz w:val="40"/>
          <w:szCs w:val="40"/>
          <w:lang w:val="en-US" w:eastAsia="zh-CN"/>
        </w:rPr>
      </w:pPr>
      <w:r>
        <w:rPr>
          <w:rFonts w:hint="eastAsia" w:ascii="彩虹小标宋" w:eastAsia="彩虹小标宋"/>
          <w:sz w:val="40"/>
          <w:szCs w:val="40"/>
        </w:rPr>
        <w:t>关于</w:t>
      </w:r>
      <w:r>
        <w:rPr>
          <w:rFonts w:hint="eastAsia" w:ascii="彩虹小标宋" w:eastAsia="彩虹小标宋"/>
          <w:sz w:val="40"/>
          <w:szCs w:val="40"/>
          <w:lang w:val="en-US" w:eastAsia="zh-CN"/>
        </w:rPr>
        <w:t>调整</w:t>
      </w:r>
      <w:r>
        <w:rPr>
          <w:rFonts w:hint="eastAsia" w:ascii="彩虹小标宋" w:eastAsia="彩虹小标宋"/>
          <w:sz w:val="40"/>
          <w:szCs w:val="40"/>
          <w:lang w:eastAsia="zh-CN"/>
        </w:rPr>
        <w:t>建信理财</w:t>
      </w:r>
      <w:r>
        <w:rPr>
          <w:rFonts w:hint="eastAsia" w:ascii="彩虹小标宋" w:eastAsia="彩虹小标宋"/>
          <w:sz w:val="40"/>
          <w:szCs w:val="40"/>
          <w:lang w:val="en-US" w:eastAsia="zh-CN"/>
        </w:rPr>
        <w:t>部分开放式产品存续规模</w:t>
      </w:r>
      <w:r>
        <w:rPr>
          <w:rFonts w:hint="eastAsia" w:ascii="彩虹小标宋" w:eastAsia="彩虹小标宋"/>
          <w:sz w:val="40"/>
          <w:szCs w:val="40"/>
        </w:rPr>
        <w:t>的公告</w:t>
      </w:r>
    </w:p>
    <w:p w14:paraId="6AD16C0B">
      <w:pPr>
        <w:spacing w:line="560" w:lineRule="exact"/>
        <w:rPr>
          <w:rFonts w:ascii="彩虹粗仿宋" w:eastAsia="彩虹粗仿宋"/>
          <w:sz w:val="32"/>
          <w:szCs w:val="32"/>
        </w:rPr>
      </w:pPr>
    </w:p>
    <w:p w14:paraId="15F3513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4636BAF4">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根据产品投资运作需要，建信理财拟</w:t>
      </w:r>
      <w:r>
        <w:rPr>
          <w:rFonts w:hint="eastAsia" w:ascii="彩虹粗仿宋" w:eastAsia="彩虹粗仿宋"/>
          <w:sz w:val="32"/>
          <w:szCs w:val="32"/>
          <w:lang w:val="en-US" w:eastAsia="zh-CN"/>
        </w:rPr>
        <w:t>自8月25日（含）起，调整部分开放式产品存续期规模上限</w:t>
      </w:r>
      <w:r>
        <w:rPr>
          <w:rFonts w:hint="eastAsia" w:ascii="彩虹粗仿宋" w:eastAsia="彩虹粗仿宋"/>
          <w:sz w:val="32"/>
          <w:szCs w:val="32"/>
        </w:rPr>
        <w:t>，具体如下：</w:t>
      </w:r>
    </w:p>
    <w:tbl>
      <w:tblPr>
        <w:tblStyle w:val="9"/>
        <w:tblW w:w="10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6"/>
        <w:gridCol w:w="2377"/>
        <w:gridCol w:w="2068"/>
      </w:tblGrid>
      <w:tr w14:paraId="1FD4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666" w:type="dxa"/>
            <w:vAlign w:val="center"/>
          </w:tcPr>
          <w:p w14:paraId="6E96DD3F">
            <w:pPr>
              <w:jc w:val="center"/>
              <w:rPr>
                <w:rFonts w:ascii="宋体" w:hAnsi="宋体" w:eastAsia="宋体"/>
                <w:b/>
                <w:szCs w:val="21"/>
              </w:rPr>
            </w:pPr>
            <w:r>
              <w:rPr>
                <w:rFonts w:hint="eastAsia" w:ascii="宋体" w:hAnsi="宋体" w:eastAsia="宋体"/>
                <w:b/>
                <w:szCs w:val="21"/>
              </w:rPr>
              <w:t>产品名称</w:t>
            </w:r>
          </w:p>
        </w:tc>
        <w:tc>
          <w:tcPr>
            <w:tcW w:w="2377" w:type="dxa"/>
            <w:vAlign w:val="center"/>
          </w:tcPr>
          <w:p w14:paraId="58CBA2F9">
            <w:pPr>
              <w:jc w:val="center"/>
              <w:rPr>
                <w:rFonts w:hint="eastAsia" w:ascii="宋体" w:hAnsi="宋体" w:eastAsia="宋体"/>
                <w:b/>
                <w:szCs w:val="21"/>
                <w:lang w:eastAsia="zh-CN"/>
              </w:rPr>
            </w:pPr>
            <w:r>
              <w:rPr>
                <w:rFonts w:hint="eastAsia" w:ascii="宋体" w:hAnsi="宋体" w:eastAsia="宋体"/>
                <w:b/>
                <w:szCs w:val="21"/>
                <w:lang w:eastAsia="zh-CN"/>
              </w:rPr>
              <w:t>全国银行业理财信息登记系统编码</w:t>
            </w:r>
          </w:p>
        </w:tc>
        <w:tc>
          <w:tcPr>
            <w:tcW w:w="2068" w:type="dxa"/>
            <w:vAlign w:val="center"/>
          </w:tcPr>
          <w:p w14:paraId="4836EF8E">
            <w:pPr>
              <w:jc w:val="center"/>
              <w:rPr>
                <w:rFonts w:hint="eastAsia" w:ascii="宋体" w:hAnsi="宋体" w:eastAsia="宋体"/>
                <w:b/>
                <w:szCs w:val="21"/>
                <w:lang w:val="en-US" w:eastAsia="zh-CN"/>
              </w:rPr>
            </w:pPr>
            <w:r>
              <w:rPr>
                <w:rFonts w:hint="eastAsia" w:ascii="宋体" w:hAnsi="宋体" w:eastAsia="宋体"/>
                <w:b/>
                <w:szCs w:val="21"/>
                <w:lang w:val="en-US" w:eastAsia="zh-CN"/>
              </w:rPr>
              <w:t>存续期规模上限</w:t>
            </w:r>
          </w:p>
          <w:p w14:paraId="5D2AEC09">
            <w:pPr>
              <w:jc w:val="center"/>
              <w:rPr>
                <w:rFonts w:hint="default" w:ascii="宋体" w:hAnsi="宋体" w:eastAsia="宋体"/>
                <w:b/>
                <w:szCs w:val="21"/>
                <w:lang w:val="en-US" w:eastAsia="zh-CN"/>
              </w:rPr>
            </w:pPr>
            <w:r>
              <w:rPr>
                <w:rFonts w:hint="eastAsia" w:ascii="宋体" w:hAnsi="宋体" w:eastAsia="宋体"/>
                <w:b/>
                <w:szCs w:val="21"/>
                <w:lang w:val="en-US" w:eastAsia="zh-CN"/>
              </w:rPr>
              <w:t>（调整后）</w:t>
            </w:r>
          </w:p>
        </w:tc>
      </w:tr>
      <w:tr w14:paraId="3E01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3E15CAB3">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建信理财嘉鑫（稳利）固收类按日开放式产品第119期</w:t>
            </w:r>
          </w:p>
        </w:tc>
        <w:tc>
          <w:tcPr>
            <w:tcW w:w="2377" w:type="dxa"/>
            <w:vAlign w:val="center"/>
          </w:tcPr>
          <w:p w14:paraId="3AC6C134">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Z7000726002009</w:t>
            </w:r>
          </w:p>
        </w:tc>
        <w:tc>
          <w:tcPr>
            <w:tcW w:w="2068" w:type="dxa"/>
            <w:vMerge w:val="restart"/>
            <w:vAlign w:val="center"/>
          </w:tcPr>
          <w:p w14:paraId="1CDE2B04">
            <w:pPr>
              <w:jc w:val="center"/>
              <w:rPr>
                <w:rFonts w:hint="default" w:ascii="彩虹粗仿宋" w:hAnsi="彩虹粗仿宋" w:eastAsia="彩虹粗仿宋" w:cs="彩虹粗仿宋"/>
                <w:sz w:val="22"/>
                <w:szCs w:val="22"/>
                <w:lang w:val="en-US" w:eastAsia="zh-CN"/>
              </w:rPr>
            </w:pPr>
            <w:r>
              <w:rPr>
                <w:rFonts w:hint="eastAsia" w:ascii="彩虹粗仿宋" w:hAnsi="彩虹粗仿宋" w:eastAsia="彩虹粗仿宋" w:cs="彩虹粗仿宋"/>
                <w:sz w:val="22"/>
                <w:szCs w:val="22"/>
                <w:lang w:val="en-US" w:eastAsia="zh-CN"/>
              </w:rPr>
              <w:t>500万份</w:t>
            </w:r>
          </w:p>
        </w:tc>
      </w:tr>
      <w:tr w14:paraId="027D2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7D065ACF">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建信理财嘉鑫（稳利）固收类按日开放式产品第120期</w:t>
            </w:r>
          </w:p>
        </w:tc>
        <w:tc>
          <w:tcPr>
            <w:tcW w:w="2377" w:type="dxa"/>
            <w:vAlign w:val="center"/>
          </w:tcPr>
          <w:p w14:paraId="6F8075FD">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Z7000726002032</w:t>
            </w:r>
          </w:p>
        </w:tc>
        <w:tc>
          <w:tcPr>
            <w:tcW w:w="2068" w:type="dxa"/>
            <w:vMerge w:val="continue"/>
            <w:tcBorders/>
            <w:vAlign w:val="center"/>
          </w:tcPr>
          <w:p w14:paraId="425B2C1D">
            <w:pPr>
              <w:jc w:val="center"/>
              <w:rPr>
                <w:rFonts w:hint="eastAsia" w:ascii="彩虹粗仿宋" w:hAnsi="彩虹粗仿宋" w:eastAsia="彩虹粗仿宋" w:cs="彩虹粗仿宋"/>
                <w:sz w:val="22"/>
                <w:szCs w:val="22"/>
                <w:lang w:val="en-US" w:eastAsia="zh-CN"/>
              </w:rPr>
            </w:pPr>
          </w:p>
        </w:tc>
      </w:tr>
      <w:tr w14:paraId="24EE1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5526C46E">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建信理财嘉鑫（稳利）固收类按日开放式产品第121期</w:t>
            </w:r>
          </w:p>
        </w:tc>
        <w:tc>
          <w:tcPr>
            <w:tcW w:w="2377" w:type="dxa"/>
            <w:vAlign w:val="center"/>
          </w:tcPr>
          <w:p w14:paraId="2FC7FA68">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Z7000726002018</w:t>
            </w:r>
          </w:p>
        </w:tc>
        <w:tc>
          <w:tcPr>
            <w:tcW w:w="2068" w:type="dxa"/>
            <w:vMerge w:val="continue"/>
            <w:tcBorders/>
            <w:vAlign w:val="center"/>
          </w:tcPr>
          <w:p w14:paraId="56DFDCE3">
            <w:pPr>
              <w:jc w:val="center"/>
              <w:rPr>
                <w:rFonts w:hint="eastAsia" w:ascii="彩虹粗仿宋" w:hAnsi="彩虹粗仿宋" w:eastAsia="彩虹粗仿宋" w:cs="彩虹粗仿宋"/>
                <w:sz w:val="22"/>
                <w:szCs w:val="22"/>
                <w:lang w:val="en-US" w:eastAsia="zh-CN"/>
              </w:rPr>
            </w:pPr>
          </w:p>
        </w:tc>
      </w:tr>
      <w:tr w14:paraId="5330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7AFAA95D">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建信理财嘉鑫（稳利）固收类按日开放式产品第195期</w:t>
            </w:r>
          </w:p>
        </w:tc>
        <w:tc>
          <w:tcPr>
            <w:tcW w:w="2377" w:type="dxa"/>
            <w:vAlign w:val="center"/>
          </w:tcPr>
          <w:p w14:paraId="0A5C2DE4">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Z7000726002103</w:t>
            </w:r>
          </w:p>
        </w:tc>
        <w:tc>
          <w:tcPr>
            <w:tcW w:w="2068" w:type="dxa"/>
            <w:vMerge w:val="continue"/>
            <w:tcBorders/>
            <w:vAlign w:val="center"/>
          </w:tcPr>
          <w:p w14:paraId="5C3FFC0A">
            <w:pPr>
              <w:jc w:val="center"/>
              <w:rPr>
                <w:rFonts w:hint="eastAsia" w:ascii="彩虹粗仿宋" w:hAnsi="彩虹粗仿宋" w:eastAsia="彩虹粗仿宋" w:cs="彩虹粗仿宋"/>
                <w:sz w:val="22"/>
                <w:szCs w:val="22"/>
                <w:lang w:val="en-US" w:eastAsia="zh-CN"/>
              </w:rPr>
            </w:pPr>
          </w:p>
        </w:tc>
      </w:tr>
      <w:tr w14:paraId="1EA9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1CA60DF6">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建信理财嘉鑫（稳利）固收类按日开放式产品第196期</w:t>
            </w:r>
          </w:p>
        </w:tc>
        <w:tc>
          <w:tcPr>
            <w:tcW w:w="2377" w:type="dxa"/>
            <w:vAlign w:val="center"/>
          </w:tcPr>
          <w:p w14:paraId="0FE39096">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Z7000726002098</w:t>
            </w:r>
          </w:p>
        </w:tc>
        <w:tc>
          <w:tcPr>
            <w:tcW w:w="2068" w:type="dxa"/>
            <w:vMerge w:val="continue"/>
            <w:tcBorders/>
            <w:vAlign w:val="center"/>
          </w:tcPr>
          <w:p w14:paraId="1AC51F65">
            <w:pPr>
              <w:jc w:val="center"/>
              <w:rPr>
                <w:rFonts w:hint="eastAsia" w:ascii="彩虹粗仿宋" w:hAnsi="彩虹粗仿宋" w:eastAsia="彩虹粗仿宋" w:cs="彩虹粗仿宋"/>
                <w:sz w:val="22"/>
                <w:szCs w:val="22"/>
                <w:lang w:val="en-US" w:eastAsia="zh-CN"/>
              </w:rPr>
            </w:pPr>
          </w:p>
        </w:tc>
      </w:tr>
      <w:tr w14:paraId="4485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452D61C4">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建信理财嘉鑫（稳利）固收类按日开放式产品第197期</w:t>
            </w:r>
          </w:p>
        </w:tc>
        <w:tc>
          <w:tcPr>
            <w:tcW w:w="2377" w:type="dxa"/>
            <w:vAlign w:val="center"/>
          </w:tcPr>
          <w:p w14:paraId="30E3EF99">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Z7000726002077</w:t>
            </w:r>
          </w:p>
        </w:tc>
        <w:tc>
          <w:tcPr>
            <w:tcW w:w="2068" w:type="dxa"/>
            <w:vMerge w:val="continue"/>
            <w:tcBorders/>
            <w:vAlign w:val="center"/>
          </w:tcPr>
          <w:p w14:paraId="3ED2C036">
            <w:pPr>
              <w:jc w:val="center"/>
              <w:rPr>
                <w:rFonts w:hint="eastAsia" w:ascii="彩虹粗仿宋" w:hAnsi="彩虹粗仿宋" w:eastAsia="彩虹粗仿宋" w:cs="彩虹粗仿宋"/>
                <w:sz w:val="22"/>
                <w:szCs w:val="22"/>
                <w:lang w:val="en-US" w:eastAsia="zh-CN"/>
              </w:rPr>
            </w:pPr>
          </w:p>
        </w:tc>
      </w:tr>
      <w:tr w14:paraId="584A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76B78E16">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建信理财嘉鑫（稳利）固收类按日开放式产品第159期</w:t>
            </w:r>
          </w:p>
        </w:tc>
        <w:tc>
          <w:tcPr>
            <w:tcW w:w="2377" w:type="dxa"/>
            <w:vAlign w:val="center"/>
          </w:tcPr>
          <w:p w14:paraId="7F997E52">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Z7000726001927</w:t>
            </w:r>
          </w:p>
        </w:tc>
        <w:tc>
          <w:tcPr>
            <w:tcW w:w="2068" w:type="dxa"/>
            <w:vMerge w:val="continue"/>
            <w:tcBorders/>
            <w:vAlign w:val="center"/>
          </w:tcPr>
          <w:p w14:paraId="74C91EE3">
            <w:pPr>
              <w:jc w:val="center"/>
              <w:rPr>
                <w:rFonts w:hint="eastAsia" w:ascii="彩虹粗仿宋" w:hAnsi="彩虹粗仿宋" w:eastAsia="彩虹粗仿宋" w:cs="彩虹粗仿宋"/>
                <w:sz w:val="22"/>
                <w:szCs w:val="22"/>
                <w:lang w:val="en-US" w:eastAsia="zh-CN"/>
              </w:rPr>
            </w:pPr>
          </w:p>
        </w:tc>
      </w:tr>
      <w:tr w14:paraId="7719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6F9C04EE">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建信理财嘉鑫（稳利）固收类按日开放式产品第160期</w:t>
            </w:r>
          </w:p>
        </w:tc>
        <w:tc>
          <w:tcPr>
            <w:tcW w:w="2377" w:type="dxa"/>
            <w:vAlign w:val="center"/>
          </w:tcPr>
          <w:p w14:paraId="72184A03">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Z7000726001936</w:t>
            </w:r>
          </w:p>
        </w:tc>
        <w:tc>
          <w:tcPr>
            <w:tcW w:w="2068" w:type="dxa"/>
            <w:vMerge w:val="continue"/>
            <w:tcBorders/>
            <w:vAlign w:val="center"/>
          </w:tcPr>
          <w:p w14:paraId="02FFCBDB">
            <w:pPr>
              <w:jc w:val="center"/>
              <w:rPr>
                <w:rFonts w:hint="eastAsia" w:ascii="彩虹粗仿宋" w:hAnsi="彩虹粗仿宋" w:eastAsia="彩虹粗仿宋" w:cs="彩虹粗仿宋"/>
                <w:sz w:val="22"/>
                <w:szCs w:val="22"/>
                <w:lang w:val="en-US" w:eastAsia="zh-CN"/>
              </w:rPr>
            </w:pPr>
          </w:p>
        </w:tc>
      </w:tr>
      <w:tr w14:paraId="3B94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1FE709F6">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建信理财嘉鑫（稳利）固收类按日开放式产品第161期</w:t>
            </w:r>
          </w:p>
        </w:tc>
        <w:tc>
          <w:tcPr>
            <w:tcW w:w="2377" w:type="dxa"/>
            <w:vAlign w:val="center"/>
          </w:tcPr>
          <w:p w14:paraId="71DDA924">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Z7000726001959</w:t>
            </w:r>
          </w:p>
        </w:tc>
        <w:tc>
          <w:tcPr>
            <w:tcW w:w="2068" w:type="dxa"/>
            <w:vMerge w:val="continue"/>
            <w:tcBorders/>
            <w:vAlign w:val="center"/>
          </w:tcPr>
          <w:p w14:paraId="18300C9A">
            <w:pPr>
              <w:jc w:val="center"/>
              <w:rPr>
                <w:rFonts w:hint="eastAsia" w:ascii="彩虹粗仿宋" w:hAnsi="彩虹粗仿宋" w:eastAsia="彩虹粗仿宋" w:cs="彩虹粗仿宋"/>
                <w:sz w:val="22"/>
                <w:szCs w:val="22"/>
                <w:lang w:val="en-US" w:eastAsia="zh-CN"/>
              </w:rPr>
            </w:pPr>
          </w:p>
        </w:tc>
      </w:tr>
      <w:tr w14:paraId="7190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7AE7E204">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建信理财嘉鑫（稳利）固收类最低持有30天产品第52期</w:t>
            </w:r>
          </w:p>
        </w:tc>
        <w:tc>
          <w:tcPr>
            <w:tcW w:w="2377" w:type="dxa"/>
            <w:vAlign w:val="center"/>
          </w:tcPr>
          <w:p w14:paraId="430F2B0D">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Z7000726001314</w:t>
            </w:r>
          </w:p>
        </w:tc>
        <w:tc>
          <w:tcPr>
            <w:tcW w:w="2068" w:type="dxa"/>
            <w:vMerge w:val="restart"/>
            <w:vAlign w:val="center"/>
          </w:tcPr>
          <w:p w14:paraId="52CC09E4">
            <w:pPr>
              <w:jc w:val="center"/>
              <w:rPr>
                <w:rFonts w:hint="default" w:ascii="彩虹粗仿宋" w:hAnsi="彩虹粗仿宋" w:eastAsia="彩虹粗仿宋" w:cs="彩虹粗仿宋"/>
                <w:sz w:val="22"/>
                <w:szCs w:val="22"/>
                <w:lang w:val="en-US" w:eastAsia="zh-CN"/>
              </w:rPr>
            </w:pPr>
            <w:r>
              <w:rPr>
                <w:rFonts w:hint="eastAsia" w:ascii="彩虹粗仿宋" w:hAnsi="彩虹粗仿宋" w:eastAsia="彩虹粗仿宋" w:cs="彩虹粗仿宋"/>
                <w:sz w:val="22"/>
                <w:szCs w:val="22"/>
                <w:lang w:val="en-US" w:eastAsia="zh-CN"/>
              </w:rPr>
              <w:t>1000万份</w:t>
            </w:r>
          </w:p>
        </w:tc>
      </w:tr>
      <w:tr w14:paraId="6422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vAlign w:val="center"/>
          </w:tcPr>
          <w:p w14:paraId="2D70E401">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建信理财嘉鑫（稳利）固收类最低持有14天产品第37期</w:t>
            </w:r>
          </w:p>
        </w:tc>
        <w:tc>
          <w:tcPr>
            <w:tcW w:w="2377" w:type="dxa"/>
            <w:vAlign w:val="center"/>
          </w:tcPr>
          <w:p w14:paraId="16F1CFF0">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Z7000726002187</w:t>
            </w:r>
          </w:p>
        </w:tc>
        <w:tc>
          <w:tcPr>
            <w:tcW w:w="2068" w:type="dxa"/>
            <w:vMerge w:val="continue"/>
            <w:tcBorders/>
            <w:vAlign w:val="center"/>
          </w:tcPr>
          <w:p w14:paraId="0875D06B">
            <w:pPr>
              <w:jc w:val="center"/>
              <w:rPr>
                <w:rFonts w:hint="default" w:ascii="彩虹粗仿宋" w:hAnsi="彩虹粗仿宋" w:eastAsia="彩虹粗仿宋" w:cs="彩虹粗仿宋"/>
                <w:sz w:val="22"/>
                <w:szCs w:val="22"/>
                <w:lang w:val="en-US" w:eastAsia="zh-CN"/>
              </w:rPr>
            </w:pPr>
          </w:p>
        </w:tc>
      </w:tr>
      <w:tr w14:paraId="5CE3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666" w:type="dxa"/>
            <w:shd w:val="clear"/>
            <w:vAlign w:val="center"/>
          </w:tcPr>
          <w:p w14:paraId="11FC16D2">
            <w:pPr>
              <w:keepNext w:val="0"/>
              <w:keepLines w:val="0"/>
              <w:widowControl/>
              <w:suppressLineNumbers w:val="0"/>
              <w:jc w:val="center"/>
              <w:textAlignment w:val="center"/>
              <w:rPr>
                <w:rFonts w:hint="eastAsia" w:ascii="彩虹粗仿宋" w:hAnsi="彩虹粗仿宋" w:eastAsia="彩虹粗仿宋" w:cs="彩虹粗仿宋"/>
                <w:i w:val="0"/>
                <w:iCs w:val="0"/>
                <w:color w:val="000000"/>
                <w:kern w:val="2"/>
                <w:sz w:val="22"/>
                <w:szCs w:val="22"/>
                <w:u w:val="none"/>
                <w:lang w:val="en-US" w:eastAsia="zh-CN" w:bidi="ar-SA"/>
              </w:rPr>
            </w:pPr>
            <w:r>
              <w:rPr>
                <w:rFonts w:hint="eastAsia" w:ascii="彩虹粗仿宋" w:hAnsi="彩虹粗仿宋" w:eastAsia="彩虹粗仿宋" w:cs="彩虹粗仿宋"/>
                <w:i w:val="0"/>
                <w:iCs w:val="0"/>
                <w:color w:val="000000"/>
                <w:kern w:val="0"/>
                <w:sz w:val="22"/>
                <w:szCs w:val="22"/>
                <w:u w:val="none"/>
                <w:lang w:val="en-US" w:eastAsia="zh-CN" w:bidi="ar"/>
              </w:rPr>
              <w:t>建信理财龙宝现金管理类产品152号</w:t>
            </w:r>
          </w:p>
        </w:tc>
        <w:tc>
          <w:tcPr>
            <w:tcW w:w="2377" w:type="dxa"/>
            <w:vAlign w:val="center"/>
          </w:tcPr>
          <w:p w14:paraId="46C459C3">
            <w:pPr>
              <w:keepNext w:val="0"/>
              <w:keepLines w:val="0"/>
              <w:widowControl/>
              <w:suppressLineNumbers w:val="0"/>
              <w:jc w:val="left"/>
              <w:textAlignment w:val="center"/>
              <w:rPr>
                <w:rFonts w:hint="eastAsia" w:ascii="彩虹粗仿宋" w:hAnsi="彩虹粗仿宋" w:eastAsia="彩虹粗仿宋" w:cs="彩虹粗仿宋"/>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Z7000726000961</w:t>
            </w:r>
          </w:p>
        </w:tc>
        <w:tc>
          <w:tcPr>
            <w:tcW w:w="2068" w:type="dxa"/>
            <w:vMerge w:val="continue"/>
            <w:tcBorders/>
            <w:vAlign w:val="center"/>
          </w:tcPr>
          <w:p w14:paraId="0A52C9F6">
            <w:pPr>
              <w:jc w:val="center"/>
              <w:rPr>
                <w:rFonts w:hint="eastAsia" w:ascii="彩虹粗仿宋" w:hAnsi="彩虹粗仿宋" w:eastAsia="彩虹粗仿宋" w:cs="彩虹粗仿宋"/>
                <w:sz w:val="22"/>
                <w:szCs w:val="22"/>
                <w:lang w:val="en-US" w:eastAsia="zh-CN"/>
              </w:rPr>
            </w:pPr>
          </w:p>
        </w:tc>
      </w:tr>
    </w:tbl>
    <w:p w14:paraId="0250B92B">
      <w:pPr>
        <w:spacing w:line="560" w:lineRule="exact"/>
        <w:ind w:firstLine="640" w:firstLineChars="200"/>
        <w:rPr>
          <w:rFonts w:ascii="彩虹粗仿宋" w:eastAsia="彩虹粗仿宋"/>
          <w:sz w:val="32"/>
          <w:szCs w:val="32"/>
        </w:rPr>
      </w:pPr>
      <w:r>
        <w:rPr>
          <w:rFonts w:hint="eastAsia" w:ascii="彩虹粗仿宋" w:eastAsia="彩虹粗仿宋"/>
          <w:sz w:val="32"/>
          <w:szCs w:val="32"/>
        </w:rPr>
        <w:t>本公告未提及事宜，按原产品说明书和风险揭示书的约定执行。</w:t>
      </w:r>
    </w:p>
    <w:p w14:paraId="342EBB65">
      <w:pPr>
        <w:spacing w:line="560" w:lineRule="exact"/>
        <w:ind w:firstLine="640" w:firstLineChars="200"/>
        <w:rPr>
          <w:rFonts w:ascii="彩虹粗仿宋" w:eastAsia="彩虹粗仿宋"/>
          <w:sz w:val="32"/>
          <w:szCs w:val="32"/>
        </w:rPr>
      </w:pPr>
      <w:r>
        <w:rPr>
          <w:rFonts w:ascii="彩虹粗仿宋" w:eastAsia="彩虹粗仿宋"/>
          <w:sz w:val="32"/>
          <w:szCs w:val="32"/>
        </w:rPr>
        <w:t>建信理财有限责任公司将本着勤勉尽职的原则持续为您提供专业化理财服务。</w:t>
      </w:r>
    </w:p>
    <w:p w14:paraId="1A77E5AC">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7F375F31">
      <w:pPr>
        <w:spacing w:line="560" w:lineRule="exact"/>
        <w:ind w:firstLine="640" w:firstLineChars="200"/>
        <w:rPr>
          <w:rFonts w:ascii="彩虹粗仿宋" w:eastAsia="彩虹粗仿宋"/>
          <w:sz w:val="32"/>
          <w:szCs w:val="32"/>
        </w:rPr>
      </w:pPr>
    </w:p>
    <w:p w14:paraId="2A889A38">
      <w:pPr>
        <w:spacing w:line="560" w:lineRule="exact"/>
        <w:ind w:firstLine="640" w:firstLineChars="200"/>
        <w:rPr>
          <w:rFonts w:ascii="彩虹粗仿宋" w:eastAsia="彩虹粗仿宋"/>
          <w:sz w:val="32"/>
          <w:szCs w:val="32"/>
        </w:rPr>
      </w:pPr>
    </w:p>
    <w:p w14:paraId="17068A10">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bookmarkStart w:id="0" w:name="_GoBack"/>
      <w:bookmarkEnd w:id="0"/>
    </w:p>
    <w:p w14:paraId="11FD22B2">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8</w:t>
      </w:r>
      <w:r>
        <w:rPr>
          <w:rFonts w:hint="eastAsia" w:ascii="彩虹粗仿宋" w:eastAsia="彩虹粗仿宋"/>
          <w:sz w:val="32"/>
          <w:szCs w:val="32"/>
        </w:rPr>
        <w:t>月</w:t>
      </w:r>
      <w:r>
        <w:rPr>
          <w:rFonts w:hint="eastAsia" w:ascii="彩虹粗仿宋" w:eastAsia="彩虹粗仿宋"/>
          <w:sz w:val="32"/>
          <w:szCs w:val="32"/>
          <w:lang w:val="en-US" w:eastAsia="zh-CN"/>
        </w:rPr>
        <w:t>21</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428A6"/>
    <w:rsid w:val="00185B11"/>
    <w:rsid w:val="0019582C"/>
    <w:rsid w:val="001C381B"/>
    <w:rsid w:val="001E48B8"/>
    <w:rsid w:val="00205C8A"/>
    <w:rsid w:val="00206F79"/>
    <w:rsid w:val="00214562"/>
    <w:rsid w:val="002532EE"/>
    <w:rsid w:val="00272D68"/>
    <w:rsid w:val="002D3336"/>
    <w:rsid w:val="002E3ECE"/>
    <w:rsid w:val="002F2DAA"/>
    <w:rsid w:val="00326FE7"/>
    <w:rsid w:val="003357F0"/>
    <w:rsid w:val="003C5294"/>
    <w:rsid w:val="003D7CFA"/>
    <w:rsid w:val="004B40CC"/>
    <w:rsid w:val="004C0C5D"/>
    <w:rsid w:val="004F0EE2"/>
    <w:rsid w:val="00505B5C"/>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73D21"/>
    <w:rsid w:val="00FB504D"/>
    <w:rsid w:val="012B62AE"/>
    <w:rsid w:val="03060C52"/>
    <w:rsid w:val="081E37ED"/>
    <w:rsid w:val="0987307F"/>
    <w:rsid w:val="098F08D1"/>
    <w:rsid w:val="0A0D4588"/>
    <w:rsid w:val="0D2B4F84"/>
    <w:rsid w:val="11AA0B06"/>
    <w:rsid w:val="126D0AE3"/>
    <w:rsid w:val="12ED789B"/>
    <w:rsid w:val="1B374DDD"/>
    <w:rsid w:val="1C9902E1"/>
    <w:rsid w:val="21200924"/>
    <w:rsid w:val="24072EE7"/>
    <w:rsid w:val="285E03C4"/>
    <w:rsid w:val="2AC75B35"/>
    <w:rsid w:val="302046BC"/>
    <w:rsid w:val="34FD0C24"/>
    <w:rsid w:val="350C32A2"/>
    <w:rsid w:val="36697D7A"/>
    <w:rsid w:val="38020845"/>
    <w:rsid w:val="390B3E87"/>
    <w:rsid w:val="391110CE"/>
    <w:rsid w:val="39C9477F"/>
    <w:rsid w:val="3B480E17"/>
    <w:rsid w:val="3FE33E39"/>
    <w:rsid w:val="41213012"/>
    <w:rsid w:val="45096549"/>
    <w:rsid w:val="482B0E1F"/>
    <w:rsid w:val="4A1006BB"/>
    <w:rsid w:val="4CCE28CD"/>
    <w:rsid w:val="4E581AE6"/>
    <w:rsid w:val="4F595D1F"/>
    <w:rsid w:val="51664C37"/>
    <w:rsid w:val="56007508"/>
    <w:rsid w:val="58EA2E59"/>
    <w:rsid w:val="593609A6"/>
    <w:rsid w:val="5A5C063B"/>
    <w:rsid w:val="5C31130F"/>
    <w:rsid w:val="5CA4488F"/>
    <w:rsid w:val="5ECF4AAA"/>
    <w:rsid w:val="5F8E026C"/>
    <w:rsid w:val="60C67A98"/>
    <w:rsid w:val="64742086"/>
    <w:rsid w:val="66414EE1"/>
    <w:rsid w:val="67AA4915"/>
    <w:rsid w:val="6AF96F73"/>
    <w:rsid w:val="6BD345B7"/>
    <w:rsid w:val="6BD36EEB"/>
    <w:rsid w:val="6BD6407C"/>
    <w:rsid w:val="6E1F0B8D"/>
    <w:rsid w:val="71716B9F"/>
    <w:rsid w:val="7181643D"/>
    <w:rsid w:val="73326FA2"/>
    <w:rsid w:val="77B6385C"/>
    <w:rsid w:val="78037750"/>
    <w:rsid w:val="78666EC3"/>
    <w:rsid w:val="7D295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64</Words>
  <Characters>365</Characters>
  <Lines>3</Lines>
  <Paragraphs>1</Paragraphs>
  <TotalTime>0</TotalTime>
  <ScaleCrop>false</ScaleCrop>
  <LinksUpToDate>false</LinksUpToDate>
  <CharactersWithSpaces>428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谭晨颖</cp:lastModifiedBy>
  <dcterms:modified xsi:type="dcterms:W3CDTF">2026-08-12T10:16:56Z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429E18ED573F43928C46DB5B046A2BFD_13</vt:lpwstr>
  </property>
</Properties>
</file>