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91E4F4">
      <w:pPr>
        <w:spacing w:line="560" w:lineRule="exact"/>
        <w:jc w:val="center"/>
        <w:rPr>
          <w:rFonts w:ascii="彩虹小标宋" w:eastAsia="彩虹小标宋"/>
          <w:sz w:val="44"/>
          <w:szCs w:val="44"/>
        </w:rPr>
      </w:pPr>
      <w:r>
        <w:rPr>
          <w:rFonts w:hint="eastAsia" w:ascii="彩虹小标宋" w:eastAsia="彩虹小标宋"/>
          <w:sz w:val="44"/>
          <w:szCs w:val="44"/>
        </w:rPr>
        <w:t>关于建信理财嘉鑫（稳利）固收类最低持有30天产品第31期增设</w:t>
      </w:r>
      <w:r>
        <w:rPr>
          <w:rFonts w:hint="eastAsia" w:ascii="彩虹小标宋" w:eastAsia="彩虹小标宋"/>
          <w:sz w:val="44"/>
          <w:szCs w:val="44"/>
          <w:lang w:val="en-US" w:eastAsia="zh-CN"/>
        </w:rPr>
        <w:t>B</w:t>
      </w:r>
      <w:r>
        <w:rPr>
          <w:rFonts w:hint="eastAsia" w:ascii="彩虹小标宋" w:eastAsia="彩虹小标宋"/>
          <w:sz w:val="44"/>
          <w:szCs w:val="44"/>
        </w:rPr>
        <w:t>类份额的公告</w:t>
      </w:r>
    </w:p>
    <w:p w14:paraId="58E44A22">
      <w:pPr>
        <w:spacing w:line="560" w:lineRule="exact"/>
        <w:rPr>
          <w:rFonts w:ascii="彩虹粗仿宋" w:eastAsia="彩虹粗仿宋"/>
          <w:sz w:val="32"/>
          <w:szCs w:val="32"/>
        </w:rPr>
      </w:pPr>
    </w:p>
    <w:p w14:paraId="24FF50CB">
      <w:pPr>
        <w:spacing w:line="560" w:lineRule="exact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尊敬的投资者：</w:t>
      </w:r>
    </w:p>
    <w:p w14:paraId="077717F8">
      <w:pPr>
        <w:spacing w:line="560" w:lineRule="exact"/>
        <w:ind w:firstLine="640" w:firstLineChars="200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为更好地为投资者提供投资理财服务，</w:t>
      </w:r>
      <w:r>
        <w:rPr>
          <w:rFonts w:ascii="彩虹粗仿宋" w:eastAsia="彩虹粗仿宋"/>
          <w:sz w:val="32"/>
          <w:szCs w:val="32"/>
        </w:rPr>
        <w:t>202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6</w:t>
      </w:r>
      <w:r>
        <w:rPr>
          <w:rFonts w:hint="eastAsia" w:ascii="彩虹粗仿宋" w:eastAsia="彩虹粗仿宋"/>
          <w:sz w:val="32"/>
          <w:szCs w:val="32"/>
        </w:rPr>
        <w:t>年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8</w:t>
      </w:r>
      <w:r>
        <w:rPr>
          <w:rFonts w:hint="eastAsia" w:ascii="彩虹粗仿宋" w:eastAsia="彩虹粗仿宋"/>
          <w:sz w:val="32"/>
          <w:szCs w:val="32"/>
          <w:highlight w:val="none"/>
        </w:rPr>
        <w:t>月</w:t>
      </w:r>
      <w:r>
        <w:rPr>
          <w:rFonts w:hint="eastAsia" w:ascii="彩虹粗仿宋" w:eastAsia="彩虹粗仿宋"/>
          <w:sz w:val="32"/>
          <w:szCs w:val="32"/>
          <w:highlight w:val="none"/>
          <w:lang w:val="en-US" w:eastAsia="zh-CN"/>
        </w:rPr>
        <w:t>27</w:t>
      </w:r>
      <w:r>
        <w:rPr>
          <w:rFonts w:hint="eastAsia" w:ascii="彩虹粗仿宋" w:eastAsia="彩虹粗仿宋"/>
          <w:sz w:val="32"/>
          <w:szCs w:val="32"/>
        </w:rPr>
        <w:t>日（含）起，建信理财将增设建信理财嘉鑫（稳利）固收类最低持有30天产品第31期的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B</w:t>
      </w:r>
      <w:r>
        <w:rPr>
          <w:rFonts w:hint="eastAsia" w:ascii="彩虹粗仿宋" w:eastAsia="彩虹粗仿宋"/>
          <w:sz w:val="32"/>
          <w:szCs w:val="32"/>
        </w:rPr>
        <w:t>类份额，面向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招商银行</w:t>
      </w:r>
      <w:r>
        <w:rPr>
          <w:rFonts w:hint="eastAsia" w:ascii="彩虹粗仿宋" w:eastAsia="彩虹粗仿宋"/>
          <w:sz w:val="32"/>
          <w:szCs w:val="32"/>
        </w:rPr>
        <w:t>私行持卡或资产达标的个人投资者销售。具体内容如下：</w:t>
      </w:r>
    </w:p>
    <w:p w14:paraId="2236721C">
      <w:pPr>
        <w:spacing w:line="560" w:lineRule="exact"/>
        <w:ind w:firstLine="640" w:firstLineChars="200"/>
        <w:rPr>
          <w:rFonts w:ascii="彩虹黑体" w:eastAsia="彩虹黑体"/>
          <w:sz w:val="32"/>
          <w:szCs w:val="32"/>
        </w:rPr>
      </w:pPr>
      <w:r>
        <w:rPr>
          <w:rFonts w:hint="eastAsia" w:ascii="彩虹黑体" w:eastAsia="彩虹黑体"/>
          <w:sz w:val="32"/>
          <w:szCs w:val="32"/>
        </w:rPr>
        <w:t>一、产品信息</w:t>
      </w:r>
    </w:p>
    <w:tbl>
      <w:tblPr>
        <w:tblStyle w:val="9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8"/>
        <w:gridCol w:w="2207"/>
        <w:gridCol w:w="2937"/>
      </w:tblGrid>
      <w:tr w14:paraId="44FAA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2" w:type="pct"/>
            <w:vAlign w:val="center"/>
          </w:tcPr>
          <w:p w14:paraId="05BA190C">
            <w:pPr>
              <w:spacing w:line="240" w:lineRule="atLeast"/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产品名称</w:t>
            </w:r>
          </w:p>
        </w:tc>
        <w:tc>
          <w:tcPr>
            <w:tcW w:w="1295" w:type="pct"/>
            <w:vAlign w:val="center"/>
          </w:tcPr>
          <w:p w14:paraId="52F774D4">
            <w:pPr>
              <w:spacing w:line="240" w:lineRule="atLeast"/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全国银行业理财信息登记系统编码</w:t>
            </w:r>
          </w:p>
        </w:tc>
        <w:tc>
          <w:tcPr>
            <w:tcW w:w="1723" w:type="pct"/>
            <w:vAlign w:val="center"/>
          </w:tcPr>
          <w:p w14:paraId="70CFB614">
            <w:pPr>
              <w:spacing w:line="240" w:lineRule="atLeast"/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理财产品代码</w:t>
            </w:r>
          </w:p>
        </w:tc>
      </w:tr>
      <w:tr w14:paraId="4C234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2" w:type="pct"/>
            <w:vAlign w:val="center"/>
          </w:tcPr>
          <w:p w14:paraId="48012976">
            <w:pPr>
              <w:spacing w:line="240" w:lineRule="atLeast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建信理财嘉鑫（稳利）固收类最低持有30天产品第31期</w:t>
            </w:r>
          </w:p>
        </w:tc>
        <w:tc>
          <w:tcPr>
            <w:tcW w:w="1295" w:type="pct"/>
            <w:vAlign w:val="center"/>
          </w:tcPr>
          <w:p w14:paraId="15465B75">
            <w:pPr>
              <w:spacing w:line="240" w:lineRule="atLeast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Z7000726001194</w:t>
            </w:r>
          </w:p>
        </w:tc>
        <w:tc>
          <w:tcPr>
            <w:tcW w:w="1723" w:type="pct"/>
            <w:vAlign w:val="center"/>
          </w:tcPr>
          <w:p w14:paraId="7E48AADF">
            <w:pPr>
              <w:spacing w:line="240" w:lineRule="atLeast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JXJXZD1M260512031</w:t>
            </w:r>
          </w:p>
        </w:tc>
      </w:tr>
    </w:tbl>
    <w:p w14:paraId="05E13B69">
      <w:pPr>
        <w:spacing w:line="560" w:lineRule="exact"/>
        <w:ind w:firstLine="640" w:firstLineChars="200"/>
        <w:rPr>
          <w:rFonts w:ascii="彩虹黑体" w:eastAsia="彩虹黑体"/>
          <w:sz w:val="32"/>
          <w:szCs w:val="32"/>
        </w:rPr>
      </w:pPr>
      <w:r>
        <w:rPr>
          <w:rFonts w:hint="eastAsia" w:ascii="彩虹黑体" w:eastAsia="彩虹黑体"/>
          <w:sz w:val="32"/>
          <w:szCs w:val="32"/>
        </w:rPr>
        <w:t>二、份额增设内容</w:t>
      </w:r>
    </w:p>
    <w:p w14:paraId="39848463">
      <w:pPr>
        <w:spacing w:line="560" w:lineRule="exact"/>
        <w:ind w:firstLine="643" w:firstLineChars="200"/>
        <w:rPr>
          <w:rFonts w:ascii="彩虹楷体" w:eastAsia="彩虹楷体"/>
          <w:b/>
          <w:sz w:val="32"/>
          <w:szCs w:val="32"/>
        </w:rPr>
      </w:pPr>
      <w:r>
        <w:rPr>
          <w:rFonts w:hint="eastAsia" w:ascii="彩虹楷体" w:eastAsia="彩虹楷体"/>
          <w:b/>
          <w:sz w:val="32"/>
          <w:szCs w:val="32"/>
        </w:rPr>
        <w:t>（一）</w:t>
      </w:r>
      <w:r>
        <w:rPr>
          <w:rFonts w:hint="eastAsia" w:ascii="彩虹楷体" w:eastAsia="彩虹楷体"/>
          <w:b/>
          <w:sz w:val="32"/>
          <w:szCs w:val="32"/>
          <w:lang w:val="en-US" w:eastAsia="zh-CN"/>
        </w:rPr>
        <w:t>B</w:t>
      </w:r>
      <w:r>
        <w:rPr>
          <w:rFonts w:hint="eastAsia" w:ascii="彩虹楷体" w:eastAsia="彩虹楷体"/>
          <w:b/>
          <w:sz w:val="32"/>
          <w:szCs w:val="32"/>
        </w:rPr>
        <w:t>类份额代码和销售对象</w:t>
      </w:r>
    </w:p>
    <w:p w14:paraId="1654614B">
      <w:pPr>
        <w:spacing w:line="560" w:lineRule="exact"/>
        <w:ind w:firstLine="640" w:firstLineChars="200"/>
        <w:rPr>
          <w:rFonts w:ascii="彩虹黑体" w:eastAsia="彩虹黑体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原份额为A类份额，新增份额为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B</w:t>
      </w:r>
      <w:r>
        <w:rPr>
          <w:rFonts w:hint="eastAsia" w:ascii="彩虹粗仿宋" w:eastAsia="彩虹粗仿宋"/>
          <w:sz w:val="32"/>
          <w:szCs w:val="32"/>
        </w:rPr>
        <w:t>类份额。</w:t>
      </w:r>
    </w:p>
    <w:tbl>
      <w:tblPr>
        <w:tblStyle w:val="9"/>
        <w:tblW w:w="87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1"/>
        <w:gridCol w:w="1093"/>
        <w:gridCol w:w="910"/>
        <w:gridCol w:w="2315"/>
        <w:gridCol w:w="2020"/>
      </w:tblGrid>
      <w:tr w14:paraId="17595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51" w:type="dxa"/>
            <w:vAlign w:val="center"/>
          </w:tcPr>
          <w:p w14:paraId="604C0A7D">
            <w:pPr>
              <w:spacing w:line="240" w:lineRule="atLeast"/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产品名称</w:t>
            </w:r>
          </w:p>
        </w:tc>
        <w:tc>
          <w:tcPr>
            <w:tcW w:w="1093" w:type="dxa"/>
            <w:vAlign w:val="center"/>
          </w:tcPr>
          <w:p w14:paraId="27DAA505">
            <w:pPr>
              <w:spacing w:line="240" w:lineRule="atLeast"/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产品份额类别</w:t>
            </w:r>
          </w:p>
        </w:tc>
        <w:tc>
          <w:tcPr>
            <w:tcW w:w="910" w:type="dxa"/>
            <w:vAlign w:val="center"/>
          </w:tcPr>
          <w:p w14:paraId="7949CBB3">
            <w:pPr>
              <w:spacing w:line="240" w:lineRule="atLeast"/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存续/新增</w:t>
            </w:r>
          </w:p>
        </w:tc>
        <w:tc>
          <w:tcPr>
            <w:tcW w:w="2315" w:type="dxa"/>
            <w:vAlign w:val="center"/>
          </w:tcPr>
          <w:p w14:paraId="40780960">
            <w:pPr>
              <w:spacing w:line="240" w:lineRule="atLeast"/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产品份额代码</w:t>
            </w:r>
          </w:p>
        </w:tc>
        <w:tc>
          <w:tcPr>
            <w:tcW w:w="2020" w:type="dxa"/>
            <w:vAlign w:val="center"/>
          </w:tcPr>
          <w:p w14:paraId="69316D2D">
            <w:pPr>
              <w:spacing w:line="240" w:lineRule="atLeast"/>
              <w:jc w:val="center"/>
              <w:rPr>
                <w:rFonts w:ascii="宋体" w:hAnsi="宋体" w:eastAsia="宋体"/>
                <w:b/>
                <w:sz w:val="22"/>
              </w:rPr>
            </w:pPr>
            <w:r>
              <w:rPr>
                <w:rFonts w:hint="eastAsia" w:ascii="宋体" w:hAnsi="宋体" w:eastAsia="宋体"/>
                <w:b/>
                <w:sz w:val="22"/>
              </w:rPr>
              <w:t>销售对象</w:t>
            </w:r>
          </w:p>
        </w:tc>
      </w:tr>
      <w:tr w14:paraId="20886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51" w:type="dxa"/>
            <w:vMerge w:val="restart"/>
            <w:vAlign w:val="center"/>
          </w:tcPr>
          <w:p w14:paraId="2F9DC8A8">
            <w:pPr>
              <w:spacing w:line="240" w:lineRule="atLeast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建信理财嘉鑫（稳利）固收类最低持有30天产品第31期</w:t>
            </w:r>
          </w:p>
        </w:tc>
        <w:tc>
          <w:tcPr>
            <w:tcW w:w="1093" w:type="dxa"/>
            <w:vAlign w:val="center"/>
          </w:tcPr>
          <w:p w14:paraId="63FB5CE4">
            <w:pPr>
              <w:spacing w:line="240" w:lineRule="atLeast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A类份额</w:t>
            </w:r>
          </w:p>
        </w:tc>
        <w:tc>
          <w:tcPr>
            <w:tcW w:w="910" w:type="dxa"/>
            <w:vAlign w:val="center"/>
          </w:tcPr>
          <w:p w14:paraId="5674E44F">
            <w:pPr>
              <w:spacing w:line="240" w:lineRule="atLeast"/>
              <w:jc w:val="center"/>
              <w:rPr>
                <w:rFonts w:ascii="宋体" w:hAnsi="宋体" w:eastAsia="宋体"/>
                <w:sz w:val="22"/>
              </w:rPr>
            </w:pPr>
            <w:r>
              <w:rPr>
                <w:rFonts w:hint="eastAsia" w:ascii="宋体" w:hAnsi="宋体" w:eastAsia="宋体"/>
                <w:sz w:val="22"/>
              </w:rPr>
              <w:t>存续</w:t>
            </w:r>
          </w:p>
        </w:tc>
        <w:tc>
          <w:tcPr>
            <w:tcW w:w="2315" w:type="dxa"/>
            <w:vAlign w:val="center"/>
          </w:tcPr>
          <w:p w14:paraId="52FA3241">
            <w:pPr>
              <w:spacing w:line="240" w:lineRule="atLeast"/>
              <w:jc w:val="center"/>
              <w:rPr>
                <w:rFonts w:ascii="宋体" w:hAnsi="宋体" w:eastAsia="宋体"/>
                <w:sz w:val="22"/>
                <w:highlight w:val="none"/>
              </w:rPr>
            </w:pPr>
            <w:r>
              <w:rPr>
                <w:rFonts w:hint="eastAsia" w:ascii="宋体" w:hAnsi="宋体" w:eastAsia="宋体"/>
                <w:sz w:val="22"/>
                <w:highlight w:val="none"/>
              </w:rPr>
              <w:t>JXJXZD1M260512031</w:t>
            </w:r>
          </w:p>
        </w:tc>
        <w:tc>
          <w:tcPr>
            <w:tcW w:w="2020" w:type="dxa"/>
            <w:vAlign w:val="center"/>
          </w:tcPr>
          <w:p w14:paraId="41F240C8">
            <w:pPr>
              <w:spacing w:line="240" w:lineRule="atLeast"/>
              <w:jc w:val="center"/>
              <w:rPr>
                <w:rFonts w:ascii="宋体" w:hAnsi="宋体" w:eastAsia="宋体"/>
                <w:sz w:val="22"/>
                <w:highlight w:val="none"/>
              </w:rPr>
            </w:pPr>
            <w:r>
              <w:rPr>
                <w:rFonts w:hint="eastAsia" w:ascii="宋体" w:hAnsi="宋体" w:eastAsia="宋体"/>
                <w:sz w:val="22"/>
                <w:highlight w:val="none"/>
              </w:rPr>
              <w:t>面向</w:t>
            </w:r>
            <w:r>
              <w:rPr>
                <w:rFonts w:hint="eastAsia" w:ascii="宋体" w:hAnsi="宋体" w:eastAsia="宋体"/>
                <w:sz w:val="22"/>
                <w:highlight w:val="none"/>
                <w:lang w:val="en-US" w:eastAsia="zh-CN"/>
              </w:rPr>
              <w:t>招商银行</w:t>
            </w:r>
            <w:r>
              <w:rPr>
                <w:rFonts w:hint="eastAsia" w:ascii="宋体" w:hAnsi="宋体" w:eastAsia="宋体"/>
                <w:sz w:val="22"/>
                <w:highlight w:val="none"/>
              </w:rPr>
              <w:t>普通个人投资者</w:t>
            </w:r>
          </w:p>
        </w:tc>
      </w:tr>
      <w:tr w14:paraId="12672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51" w:type="dxa"/>
            <w:vMerge w:val="continue"/>
            <w:vAlign w:val="center"/>
          </w:tcPr>
          <w:p w14:paraId="3A77ABAF">
            <w:pPr>
              <w:spacing w:line="240" w:lineRule="atLeast"/>
              <w:jc w:val="center"/>
              <w:rPr>
                <w:rFonts w:ascii="宋体" w:hAnsi="宋体" w:eastAsia="宋体"/>
                <w:sz w:val="22"/>
              </w:rPr>
            </w:pPr>
          </w:p>
        </w:tc>
        <w:tc>
          <w:tcPr>
            <w:tcW w:w="1093" w:type="dxa"/>
            <w:vAlign w:val="center"/>
          </w:tcPr>
          <w:p w14:paraId="01C28B80">
            <w:pPr>
              <w:spacing w:line="240" w:lineRule="atLeast"/>
              <w:jc w:val="center"/>
              <w:rPr>
                <w:rFonts w:ascii="宋体" w:hAnsi="宋体" w:eastAsia="宋体"/>
                <w:bCs/>
                <w:sz w:val="22"/>
              </w:rPr>
            </w:pPr>
            <w:r>
              <w:rPr>
                <w:rFonts w:hint="eastAsia" w:ascii="宋体" w:hAnsi="宋体" w:eastAsia="宋体"/>
                <w:bCs/>
                <w:sz w:val="22"/>
                <w:lang w:val="en-US" w:eastAsia="zh-CN"/>
              </w:rPr>
              <w:t>B</w:t>
            </w:r>
            <w:r>
              <w:rPr>
                <w:rFonts w:hint="eastAsia" w:ascii="宋体" w:hAnsi="宋体" w:eastAsia="宋体"/>
                <w:bCs/>
                <w:sz w:val="22"/>
              </w:rPr>
              <w:t>类份额</w:t>
            </w:r>
          </w:p>
        </w:tc>
        <w:tc>
          <w:tcPr>
            <w:tcW w:w="910" w:type="dxa"/>
            <w:vAlign w:val="center"/>
          </w:tcPr>
          <w:p w14:paraId="03409DC2">
            <w:pPr>
              <w:spacing w:line="240" w:lineRule="atLeast"/>
              <w:jc w:val="center"/>
              <w:rPr>
                <w:rFonts w:ascii="宋体" w:hAnsi="宋体" w:eastAsia="宋体"/>
                <w:bCs/>
                <w:sz w:val="22"/>
              </w:rPr>
            </w:pPr>
            <w:r>
              <w:rPr>
                <w:rFonts w:hint="eastAsia" w:ascii="宋体" w:hAnsi="宋体" w:eastAsia="宋体"/>
                <w:bCs/>
                <w:sz w:val="22"/>
              </w:rPr>
              <w:t>新增</w:t>
            </w:r>
          </w:p>
        </w:tc>
        <w:tc>
          <w:tcPr>
            <w:tcW w:w="2315" w:type="dxa"/>
            <w:vAlign w:val="center"/>
          </w:tcPr>
          <w:p w14:paraId="5A30C3DB">
            <w:pPr>
              <w:spacing w:line="240" w:lineRule="atLeast"/>
              <w:jc w:val="center"/>
              <w:rPr>
                <w:rFonts w:ascii="宋体" w:hAnsi="宋体" w:eastAsia="宋体"/>
                <w:bCs/>
                <w:sz w:val="22"/>
                <w:highlight w:val="none"/>
              </w:rPr>
            </w:pPr>
            <w:r>
              <w:rPr>
                <w:rFonts w:hint="eastAsia" w:ascii="宋体" w:hAnsi="宋体" w:eastAsia="宋体"/>
                <w:bCs/>
                <w:sz w:val="22"/>
                <w:highlight w:val="none"/>
              </w:rPr>
              <w:t>JXJXZD1M26512031B</w:t>
            </w:r>
          </w:p>
        </w:tc>
        <w:tc>
          <w:tcPr>
            <w:tcW w:w="2020" w:type="dxa"/>
            <w:vAlign w:val="center"/>
          </w:tcPr>
          <w:p w14:paraId="4E6080AF">
            <w:pPr>
              <w:spacing w:line="240" w:lineRule="atLeast"/>
              <w:jc w:val="center"/>
              <w:rPr>
                <w:rFonts w:ascii="宋体" w:hAnsi="宋体" w:eastAsia="宋体"/>
                <w:bCs/>
                <w:sz w:val="22"/>
                <w:highlight w:val="none"/>
              </w:rPr>
            </w:pPr>
            <w:r>
              <w:rPr>
                <w:rFonts w:hint="eastAsia" w:ascii="宋体" w:hAnsi="宋体" w:eastAsia="宋体"/>
                <w:bCs/>
                <w:sz w:val="22"/>
                <w:highlight w:val="none"/>
              </w:rPr>
              <w:t>面向</w:t>
            </w:r>
            <w:r>
              <w:rPr>
                <w:rFonts w:hint="eastAsia" w:ascii="宋体" w:hAnsi="宋体" w:eastAsia="宋体"/>
                <w:bCs/>
                <w:sz w:val="22"/>
                <w:highlight w:val="none"/>
                <w:lang w:val="en-US" w:eastAsia="zh-CN"/>
              </w:rPr>
              <w:t>招商银行</w:t>
            </w:r>
            <w:r>
              <w:rPr>
                <w:rFonts w:hint="eastAsia" w:ascii="宋体" w:hAnsi="宋体" w:eastAsia="宋体"/>
                <w:bCs/>
                <w:sz w:val="22"/>
                <w:highlight w:val="none"/>
              </w:rPr>
              <w:t>私行持卡或资产达标的个人投资者</w:t>
            </w:r>
          </w:p>
        </w:tc>
      </w:tr>
    </w:tbl>
    <w:p w14:paraId="6372DBF1">
      <w:pPr>
        <w:spacing w:line="560" w:lineRule="exact"/>
        <w:ind w:firstLine="643" w:firstLineChars="200"/>
        <w:rPr>
          <w:rFonts w:ascii="彩虹楷体" w:eastAsia="彩虹楷体"/>
          <w:b/>
          <w:sz w:val="32"/>
          <w:szCs w:val="32"/>
        </w:rPr>
      </w:pPr>
      <w:r>
        <w:rPr>
          <w:rFonts w:hint="eastAsia" w:ascii="彩虹楷体" w:eastAsia="彩虹楷体"/>
          <w:b/>
          <w:sz w:val="32"/>
          <w:szCs w:val="32"/>
        </w:rPr>
        <w:t>（二）</w:t>
      </w:r>
      <w:r>
        <w:rPr>
          <w:rFonts w:hint="eastAsia" w:ascii="彩虹楷体" w:eastAsia="彩虹楷体"/>
          <w:b/>
          <w:sz w:val="32"/>
          <w:szCs w:val="32"/>
          <w:lang w:val="en-US" w:eastAsia="zh-CN"/>
        </w:rPr>
        <w:t>B</w:t>
      </w:r>
      <w:r>
        <w:rPr>
          <w:rFonts w:hint="eastAsia" w:ascii="彩虹楷体" w:eastAsia="彩虹楷体"/>
          <w:b/>
          <w:sz w:val="32"/>
          <w:szCs w:val="32"/>
        </w:rPr>
        <w:t>类份额业绩比较基准和费率</w:t>
      </w:r>
    </w:p>
    <w:p w14:paraId="2EC0DDF0">
      <w:pPr>
        <w:spacing w:line="560" w:lineRule="exact"/>
        <w:ind w:firstLine="640" w:firstLineChars="200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A类份额的业绩比较基准和费率保持不变，新增</w:t>
      </w:r>
      <w:r>
        <w:rPr>
          <w:rFonts w:hint="eastAsia" w:ascii="彩虹粗仿宋" w:eastAsia="彩虹粗仿宋"/>
          <w:sz w:val="32"/>
          <w:szCs w:val="32"/>
          <w:lang w:val="en-US" w:eastAsia="zh-CN"/>
        </w:rPr>
        <w:t>B</w:t>
      </w:r>
      <w:r>
        <w:rPr>
          <w:rFonts w:hint="eastAsia" w:ascii="彩虹粗仿宋" w:eastAsia="彩虹粗仿宋"/>
          <w:sz w:val="32"/>
          <w:szCs w:val="32"/>
        </w:rPr>
        <w:t>类份额的业绩比较基准和费率如下：</w:t>
      </w:r>
    </w:p>
    <w:tbl>
      <w:tblPr>
        <w:tblStyle w:val="8"/>
        <w:tblW w:w="515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8"/>
        <w:gridCol w:w="1601"/>
        <w:gridCol w:w="2185"/>
        <w:gridCol w:w="1791"/>
        <w:gridCol w:w="1328"/>
      </w:tblGrid>
      <w:tr w14:paraId="07877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tblHeader/>
          <w:jc w:val="center"/>
        </w:trPr>
        <w:tc>
          <w:tcPr>
            <w:tcW w:w="1073" w:type="pct"/>
            <w:shd w:val="clear" w:color="auto" w:fill="auto"/>
            <w:vAlign w:val="center"/>
          </w:tcPr>
          <w:p w14:paraId="0FCF8BF7">
            <w:pPr>
              <w:spacing w:line="240" w:lineRule="atLeast"/>
              <w:jc w:val="center"/>
              <w:rPr>
                <w:rFonts w:ascii="宋体" w:hAnsi="宋体" w:eastAsia="宋体"/>
                <w:b/>
                <w:szCs w:val="32"/>
              </w:rPr>
            </w:pPr>
            <w:r>
              <w:rPr>
                <w:rFonts w:hint="eastAsia" w:ascii="宋体" w:hAnsi="宋体" w:eastAsia="宋体"/>
                <w:b/>
                <w:szCs w:val="32"/>
              </w:rPr>
              <w:t>产品名称</w:t>
            </w:r>
          </w:p>
        </w:tc>
        <w:tc>
          <w:tcPr>
            <w:tcW w:w="910" w:type="pct"/>
            <w:vAlign w:val="center"/>
          </w:tcPr>
          <w:p w14:paraId="061E5FDB">
            <w:pPr>
              <w:spacing w:line="240" w:lineRule="atLeast"/>
              <w:jc w:val="center"/>
              <w:rPr>
                <w:rFonts w:ascii="宋体" w:hAnsi="宋体" w:eastAsia="宋体"/>
                <w:b/>
                <w:szCs w:val="32"/>
              </w:rPr>
            </w:pPr>
            <w:r>
              <w:rPr>
                <w:rFonts w:hint="eastAsia" w:ascii="宋体" w:hAnsi="宋体" w:eastAsia="宋体"/>
                <w:b/>
                <w:szCs w:val="32"/>
              </w:rPr>
              <w:t>业绩比较基准（年化）</w:t>
            </w:r>
          </w:p>
        </w:tc>
        <w:tc>
          <w:tcPr>
            <w:tcW w:w="1242" w:type="pct"/>
            <w:shd w:val="clear" w:color="auto" w:fill="auto"/>
            <w:vAlign w:val="center"/>
          </w:tcPr>
          <w:p w14:paraId="2D479386">
            <w:pPr>
              <w:spacing w:line="240" w:lineRule="atLeast"/>
              <w:jc w:val="center"/>
              <w:rPr>
                <w:rFonts w:ascii="宋体" w:hAnsi="宋体" w:eastAsia="宋体"/>
                <w:b/>
                <w:szCs w:val="32"/>
              </w:rPr>
            </w:pPr>
            <w:r>
              <w:rPr>
                <w:rFonts w:hint="eastAsia" w:ascii="宋体" w:hAnsi="宋体" w:eastAsia="宋体"/>
                <w:b/>
                <w:szCs w:val="32"/>
              </w:rPr>
              <w:t>管理费率</w:t>
            </w:r>
          </w:p>
        </w:tc>
        <w:tc>
          <w:tcPr>
            <w:tcW w:w="1018" w:type="pct"/>
            <w:shd w:val="clear" w:color="auto" w:fill="auto"/>
            <w:vAlign w:val="center"/>
          </w:tcPr>
          <w:p w14:paraId="4017DA16">
            <w:pPr>
              <w:spacing w:line="240" w:lineRule="atLeast"/>
              <w:jc w:val="center"/>
              <w:rPr>
                <w:rFonts w:ascii="宋体" w:hAnsi="宋体" w:eastAsia="宋体"/>
                <w:b/>
                <w:szCs w:val="32"/>
              </w:rPr>
            </w:pPr>
            <w:r>
              <w:rPr>
                <w:rFonts w:hint="eastAsia" w:ascii="宋体" w:hAnsi="宋体" w:eastAsia="宋体"/>
                <w:b/>
                <w:szCs w:val="32"/>
              </w:rPr>
              <w:t>销售费率</w:t>
            </w:r>
          </w:p>
        </w:tc>
        <w:tc>
          <w:tcPr>
            <w:tcW w:w="755" w:type="pct"/>
            <w:vAlign w:val="center"/>
          </w:tcPr>
          <w:p w14:paraId="083D8B21">
            <w:pPr>
              <w:spacing w:line="240" w:lineRule="atLeast"/>
              <w:jc w:val="center"/>
              <w:rPr>
                <w:rFonts w:ascii="宋体" w:hAnsi="宋体" w:eastAsia="宋体"/>
                <w:b/>
                <w:szCs w:val="32"/>
              </w:rPr>
            </w:pPr>
            <w:r>
              <w:rPr>
                <w:rFonts w:hint="eastAsia" w:ascii="宋体" w:hAnsi="宋体" w:eastAsia="宋体"/>
                <w:b/>
                <w:szCs w:val="32"/>
              </w:rPr>
              <w:t>托管费率</w:t>
            </w:r>
          </w:p>
        </w:tc>
      </w:tr>
      <w:tr w14:paraId="7544E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pct"/>
            <w:shd w:val="clear" w:color="auto" w:fill="auto"/>
            <w:vAlign w:val="center"/>
          </w:tcPr>
          <w:p w14:paraId="6AAF4476">
            <w:pPr>
              <w:spacing w:line="240" w:lineRule="atLeas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建信理财嘉鑫（稳利）固收类最低持有30天产品第31期</w:t>
            </w:r>
          </w:p>
        </w:tc>
        <w:tc>
          <w:tcPr>
            <w:tcW w:w="910" w:type="pct"/>
            <w:vAlign w:val="center"/>
          </w:tcPr>
          <w:p w14:paraId="771EF253">
            <w:pPr>
              <w:spacing w:line="240" w:lineRule="atLeast"/>
              <w:jc w:val="center"/>
              <w:rPr>
                <w:rFonts w:ascii="宋体" w:hAnsi="宋体" w:eastAsia="宋体"/>
                <w:szCs w:val="32"/>
              </w:rPr>
            </w:pPr>
            <w:r>
              <w:rPr>
                <w:rFonts w:hint="eastAsia" w:ascii="宋体" w:hAnsi="宋体" w:eastAsia="宋体"/>
                <w:szCs w:val="32"/>
              </w:rPr>
              <w:t>中国建设银行三个月定期存款（整存整取）利率+0.1%</w:t>
            </w:r>
          </w:p>
        </w:tc>
        <w:tc>
          <w:tcPr>
            <w:tcW w:w="1242" w:type="pct"/>
            <w:shd w:val="clear" w:color="auto" w:fill="auto"/>
            <w:vAlign w:val="center"/>
          </w:tcPr>
          <w:p w14:paraId="5C1BC621">
            <w:pPr>
              <w:spacing w:line="240" w:lineRule="atLeast"/>
              <w:jc w:val="center"/>
              <w:rPr>
                <w:rFonts w:hint="default" w:ascii="宋体" w:hAnsi="宋体" w:eastAsia="宋体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szCs w:val="32"/>
              </w:rPr>
              <w:t>0.2%</w:t>
            </w:r>
            <w:r>
              <w:rPr>
                <w:rFonts w:ascii="宋体" w:hAnsi="宋体" w:eastAsia="宋体"/>
                <w:szCs w:val="32"/>
              </w:rPr>
              <w:t>/</w:t>
            </w:r>
            <w:r>
              <w:rPr>
                <w:rFonts w:hint="eastAsia" w:ascii="宋体" w:hAnsi="宋体" w:eastAsia="宋体"/>
                <w:szCs w:val="32"/>
              </w:rPr>
              <w:t>年</w:t>
            </w:r>
            <w:r>
              <w:rPr>
                <w:rFonts w:hint="eastAsia" w:ascii="宋体" w:hAnsi="宋体" w:eastAsia="宋体"/>
                <w:szCs w:val="32"/>
                <w:lang w:eastAsia="zh-CN"/>
              </w:rPr>
              <w:t>，2026年11月19日</w:t>
            </w:r>
            <w:r>
              <w:rPr>
                <w:rFonts w:hint="eastAsia" w:ascii="宋体" w:hAnsi="宋体" w:eastAsia="宋体"/>
                <w:szCs w:val="32"/>
                <w:lang w:val="en-US" w:eastAsia="zh-CN"/>
              </w:rPr>
              <w:t>前（含）优惠至0.1%/年；</w:t>
            </w:r>
          </w:p>
          <w:p w14:paraId="5EB5DB97">
            <w:pPr>
              <w:spacing w:line="240" w:lineRule="atLeast"/>
              <w:jc w:val="center"/>
              <w:rPr>
                <w:rFonts w:ascii="宋体" w:hAnsi="宋体" w:eastAsia="宋体"/>
                <w:szCs w:val="32"/>
              </w:rPr>
            </w:pPr>
            <w:r>
              <w:rPr>
                <w:rFonts w:hint="eastAsia" w:ascii="宋体" w:hAnsi="宋体" w:eastAsia="宋体"/>
                <w:szCs w:val="32"/>
              </w:rPr>
              <w:t>若后续进行费率优惠，以后续费率优惠公告为准</w:t>
            </w:r>
          </w:p>
        </w:tc>
        <w:tc>
          <w:tcPr>
            <w:tcW w:w="1018" w:type="pct"/>
            <w:shd w:val="clear" w:color="auto" w:fill="auto"/>
            <w:vAlign w:val="center"/>
          </w:tcPr>
          <w:p w14:paraId="16840A54">
            <w:pPr>
              <w:spacing w:line="240" w:lineRule="atLeast"/>
              <w:jc w:val="center"/>
              <w:rPr>
                <w:rFonts w:ascii="宋体" w:hAnsi="宋体" w:eastAsia="宋体"/>
                <w:szCs w:val="32"/>
              </w:rPr>
            </w:pPr>
            <w:r>
              <w:rPr>
                <w:rFonts w:ascii="宋体" w:hAnsi="宋体" w:eastAsia="宋体"/>
                <w:szCs w:val="32"/>
              </w:rPr>
              <w:t>0.1</w:t>
            </w:r>
            <w:r>
              <w:rPr>
                <w:rFonts w:hint="eastAsia" w:ascii="宋体" w:hAnsi="宋体" w:eastAsia="宋体"/>
                <w:szCs w:val="32"/>
              </w:rPr>
              <w:t>%/年</w:t>
            </w:r>
          </w:p>
          <w:p w14:paraId="1DBDE9AA">
            <w:pPr>
              <w:spacing w:line="240" w:lineRule="atLeast"/>
              <w:jc w:val="center"/>
              <w:rPr>
                <w:rFonts w:ascii="宋体" w:hAnsi="宋体" w:eastAsia="宋体"/>
                <w:szCs w:val="32"/>
              </w:rPr>
            </w:pPr>
            <w:r>
              <w:rPr>
                <w:rFonts w:hint="eastAsia" w:ascii="宋体" w:hAnsi="宋体" w:eastAsia="宋体"/>
                <w:szCs w:val="32"/>
              </w:rPr>
              <w:t>若后续进行费率优惠，以后续费率优惠公告为准</w:t>
            </w:r>
          </w:p>
        </w:tc>
        <w:tc>
          <w:tcPr>
            <w:tcW w:w="755" w:type="pct"/>
            <w:vAlign w:val="center"/>
          </w:tcPr>
          <w:p w14:paraId="01EA6447">
            <w:pPr>
              <w:spacing w:line="240" w:lineRule="atLeast"/>
              <w:jc w:val="center"/>
              <w:rPr>
                <w:rFonts w:ascii="宋体" w:hAnsi="宋体" w:eastAsia="宋体"/>
                <w:szCs w:val="32"/>
              </w:rPr>
            </w:pPr>
            <w:r>
              <w:rPr>
                <w:rFonts w:ascii="宋体" w:hAnsi="宋体" w:eastAsia="宋体"/>
                <w:szCs w:val="32"/>
              </w:rPr>
              <w:t>0.0</w:t>
            </w:r>
            <w:r>
              <w:rPr>
                <w:rFonts w:hint="eastAsia" w:ascii="宋体" w:hAnsi="宋体" w:eastAsia="宋体"/>
                <w:szCs w:val="32"/>
              </w:rPr>
              <w:t>2%/年</w:t>
            </w:r>
          </w:p>
        </w:tc>
      </w:tr>
    </w:tbl>
    <w:p w14:paraId="77ADEBDB">
      <w:pPr>
        <w:spacing w:line="560" w:lineRule="exact"/>
        <w:ind w:firstLine="640" w:firstLineChars="200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eastAsia="彩虹粗仿宋"/>
          <w:sz w:val="32"/>
          <w:szCs w:val="32"/>
        </w:rPr>
        <w:t>具体情况和其他未尽事宜以产品说明书和风险揭示书的约定为准。</w:t>
      </w:r>
    </w:p>
    <w:p w14:paraId="51A68619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彩虹粗仿宋" w:hAnsi="宋体" w:eastAsia="彩虹粗仿宋" w:cs="宋体"/>
          <w:color w:val="000000"/>
          <w:kern w:val="0"/>
          <w:sz w:val="32"/>
          <w:szCs w:val="32"/>
        </w:rPr>
      </w:pP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特此公告。</w:t>
      </w:r>
    </w:p>
    <w:p w14:paraId="480F8621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彩虹粗仿宋" w:hAnsi="宋体" w:eastAsia="彩虹粗仿宋" w:cs="宋体"/>
          <w:color w:val="000000"/>
          <w:kern w:val="0"/>
          <w:sz w:val="32"/>
          <w:szCs w:val="32"/>
        </w:rPr>
      </w:pPr>
    </w:p>
    <w:p w14:paraId="42A4E44C">
      <w:pPr>
        <w:widowControl/>
        <w:shd w:val="clear" w:color="auto" w:fill="FFFFFF"/>
        <w:spacing w:line="560" w:lineRule="exact"/>
        <w:ind w:firstLine="640" w:firstLineChars="200"/>
        <w:jc w:val="left"/>
        <w:rPr>
          <w:rFonts w:ascii="彩虹粗仿宋" w:hAnsi="宋体" w:eastAsia="彩虹粗仿宋" w:cs="宋体"/>
          <w:color w:val="666666"/>
          <w:kern w:val="0"/>
          <w:sz w:val="32"/>
          <w:szCs w:val="32"/>
        </w:rPr>
      </w:pPr>
      <w:bookmarkStart w:id="0" w:name="_GoBack"/>
      <w:bookmarkEnd w:id="0"/>
    </w:p>
    <w:p w14:paraId="251000BC">
      <w:pPr>
        <w:widowControl/>
        <w:shd w:val="clear" w:color="auto" w:fill="FFFFFF"/>
        <w:spacing w:line="560" w:lineRule="exact"/>
        <w:ind w:firstLine="420"/>
        <w:jc w:val="right"/>
        <w:rPr>
          <w:rFonts w:ascii="彩虹粗仿宋" w:hAnsi="宋体" w:eastAsia="彩虹粗仿宋" w:cs="宋体"/>
          <w:color w:val="666666"/>
          <w:kern w:val="0"/>
          <w:sz w:val="32"/>
          <w:szCs w:val="32"/>
        </w:rPr>
      </w:pP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建信理财有限责任公司</w:t>
      </w:r>
    </w:p>
    <w:p w14:paraId="44D2C868">
      <w:pPr>
        <w:widowControl/>
        <w:shd w:val="clear" w:color="auto" w:fill="FFFFFF"/>
        <w:spacing w:line="560" w:lineRule="exact"/>
        <w:ind w:right="320" w:firstLine="420"/>
        <w:jc w:val="right"/>
        <w:rPr>
          <w:rFonts w:ascii="彩虹粗仿宋" w:eastAsia="彩虹粗仿宋"/>
          <w:sz w:val="32"/>
          <w:szCs w:val="32"/>
        </w:rPr>
      </w:pP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</w:rPr>
        <w:t>20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highlight w:val="none"/>
        </w:rPr>
        <w:t>2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highlight w:val="none"/>
        </w:rPr>
        <w:t>年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highlight w:val="none"/>
        </w:rPr>
        <w:t>月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highlight w:val="none"/>
          <w:lang w:val="en-US" w:eastAsia="zh-CN"/>
        </w:rPr>
        <w:t>25</w:t>
      </w:r>
      <w:r>
        <w:rPr>
          <w:rFonts w:hint="eastAsia" w:ascii="彩虹粗仿宋" w:hAnsi="宋体" w:eastAsia="彩虹粗仿宋" w:cs="宋体"/>
          <w:color w:val="000000"/>
          <w:kern w:val="0"/>
          <w:sz w:val="32"/>
          <w:szCs w:val="32"/>
          <w:highlight w:val="none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彩虹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彩虹粗仿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彩虹黑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彩虹楷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92735943"/>
    </w:sdtPr>
    <w:sdtContent>
      <w:p w14:paraId="116F24A9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ABB47CC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hkZmQzYzU2MWU4OTg1ZjQ0MjVmZjgxZjk0YTljMmYifQ=="/>
  </w:docVars>
  <w:rsids>
    <w:rsidRoot w:val="00844A37"/>
    <w:rsid w:val="00080A4A"/>
    <w:rsid w:val="000871B5"/>
    <w:rsid w:val="000B0073"/>
    <w:rsid w:val="000E1869"/>
    <w:rsid w:val="00111616"/>
    <w:rsid w:val="0011362E"/>
    <w:rsid w:val="001137C1"/>
    <w:rsid w:val="00200BED"/>
    <w:rsid w:val="002051E8"/>
    <w:rsid w:val="00252779"/>
    <w:rsid w:val="00272068"/>
    <w:rsid w:val="00292C51"/>
    <w:rsid w:val="00297AE3"/>
    <w:rsid w:val="002B438C"/>
    <w:rsid w:val="0030061E"/>
    <w:rsid w:val="00366D2E"/>
    <w:rsid w:val="00372FD5"/>
    <w:rsid w:val="00393227"/>
    <w:rsid w:val="00396AE2"/>
    <w:rsid w:val="003A396C"/>
    <w:rsid w:val="003D28DA"/>
    <w:rsid w:val="00461EA4"/>
    <w:rsid w:val="00481C78"/>
    <w:rsid w:val="004876E7"/>
    <w:rsid w:val="00492811"/>
    <w:rsid w:val="004C7E71"/>
    <w:rsid w:val="005241E5"/>
    <w:rsid w:val="0052798C"/>
    <w:rsid w:val="00530C41"/>
    <w:rsid w:val="00532B46"/>
    <w:rsid w:val="00534C73"/>
    <w:rsid w:val="00582625"/>
    <w:rsid w:val="00597555"/>
    <w:rsid w:val="005C7CB1"/>
    <w:rsid w:val="006135FC"/>
    <w:rsid w:val="00682922"/>
    <w:rsid w:val="00690D33"/>
    <w:rsid w:val="00694D12"/>
    <w:rsid w:val="006F62AC"/>
    <w:rsid w:val="007070CB"/>
    <w:rsid w:val="00747D47"/>
    <w:rsid w:val="007C5A91"/>
    <w:rsid w:val="007F32BC"/>
    <w:rsid w:val="00844A37"/>
    <w:rsid w:val="0085604E"/>
    <w:rsid w:val="00872B42"/>
    <w:rsid w:val="0087421A"/>
    <w:rsid w:val="008E2034"/>
    <w:rsid w:val="00940F4F"/>
    <w:rsid w:val="00946BD3"/>
    <w:rsid w:val="009D065A"/>
    <w:rsid w:val="009D6916"/>
    <w:rsid w:val="00A1576D"/>
    <w:rsid w:val="00AA2BD6"/>
    <w:rsid w:val="00B15E3D"/>
    <w:rsid w:val="00B60AD8"/>
    <w:rsid w:val="00B85677"/>
    <w:rsid w:val="00B91970"/>
    <w:rsid w:val="00B91E1E"/>
    <w:rsid w:val="00BB643F"/>
    <w:rsid w:val="00C00463"/>
    <w:rsid w:val="00C130AA"/>
    <w:rsid w:val="00C25989"/>
    <w:rsid w:val="00C749F7"/>
    <w:rsid w:val="00CC7696"/>
    <w:rsid w:val="00CD2796"/>
    <w:rsid w:val="00DE2DD7"/>
    <w:rsid w:val="00E15D4A"/>
    <w:rsid w:val="00E567B6"/>
    <w:rsid w:val="00E74CD2"/>
    <w:rsid w:val="00F226D3"/>
    <w:rsid w:val="00FC2863"/>
    <w:rsid w:val="0124681C"/>
    <w:rsid w:val="07C71E83"/>
    <w:rsid w:val="12D8002C"/>
    <w:rsid w:val="17DC6103"/>
    <w:rsid w:val="258B383C"/>
    <w:rsid w:val="3A657013"/>
    <w:rsid w:val="3F930422"/>
    <w:rsid w:val="45CC5D25"/>
    <w:rsid w:val="49591754"/>
    <w:rsid w:val="557478D3"/>
    <w:rsid w:val="7BD6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10"/>
    <w:link w:val="5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4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2"/>
    <w:semiHidden/>
    <w:qFormat/>
    <w:uiPriority w:val="99"/>
  </w:style>
  <w:style w:type="character" w:customStyle="1" w:styleId="15">
    <w:name w:val="批注主题 字符"/>
    <w:basedOn w:val="14"/>
    <w:link w:val="7"/>
    <w:semiHidden/>
    <w:qFormat/>
    <w:uiPriority w:val="99"/>
    <w:rPr>
      <w:b/>
      <w:bCs/>
    </w:rPr>
  </w:style>
  <w:style w:type="character" w:customStyle="1" w:styleId="16">
    <w:name w:val="批注框文本 字符"/>
    <w:basedOn w:val="10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113</Words>
  <Characters>647</Characters>
  <Lines>5</Lines>
  <Paragraphs>1</Paragraphs>
  <TotalTime>1</TotalTime>
  <ScaleCrop>false</ScaleCrop>
  <LinksUpToDate>false</LinksUpToDate>
  <CharactersWithSpaces>759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2021-11-09T09:40:00Z</dcterms:created>
  <dc:creator>谭晨颖</dc:creator>
  <cp:lastModifiedBy>陈文君</cp:lastModifiedBy>
  <dcterms:modified xsi:type="dcterms:W3CDTF">2026-08-25T01:13:36Z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6D1FCC887BFD4FE492E22AECA4EE55DA_13</vt:lpwstr>
  </property>
</Properties>
</file>