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930285">
      <w:pPr>
        <w:widowControl/>
        <w:snapToGrid w:val="0"/>
        <w:spacing w:line="560" w:lineRule="exact"/>
        <w:jc w:val="center"/>
        <w:rPr>
          <w:rFonts w:ascii="彩虹小标宋" w:hAnsi="微软雅黑" w:eastAsia="彩虹小标宋" w:cs="Arial"/>
          <w:bCs/>
          <w:color w:val="000000" w:themeColor="text1"/>
          <w:kern w:val="0"/>
          <w:sz w:val="44"/>
          <w:szCs w:val="44"/>
          <w14:textFill>
            <w14:solidFill>
              <w14:schemeClr w14:val="tx1"/>
            </w14:solidFill>
          </w14:textFill>
        </w:rPr>
      </w:pPr>
      <w:r>
        <w:rPr>
          <w:rFonts w:hint="eastAsia" w:ascii="彩虹小标宋" w:hAnsi="微软雅黑" w:eastAsia="彩虹小标宋" w:cs="Arial"/>
          <w:bCs/>
          <w:color w:val="000000" w:themeColor="text1"/>
          <w:kern w:val="0"/>
          <w:sz w:val="44"/>
          <w:szCs w:val="44"/>
          <w14:textFill>
            <w14:solidFill>
              <w14:schemeClr w14:val="tx1"/>
            </w14:solidFill>
          </w14:textFill>
        </w:rPr>
        <w:t>关于</w:t>
      </w:r>
      <w:r>
        <w:rPr>
          <w:rFonts w:hint="eastAsia" w:ascii="彩虹小标宋" w:hAnsi="微软雅黑" w:eastAsia="彩虹小标宋" w:cs="Arial"/>
          <w:bCs/>
          <w:color w:val="000000" w:themeColor="text1"/>
          <w:kern w:val="0"/>
          <w:sz w:val="44"/>
          <w:szCs w:val="44"/>
          <w:lang w:val="en-US" w:eastAsia="zh-CN"/>
          <w14:textFill>
            <w14:solidFill>
              <w14:schemeClr w14:val="tx1"/>
            </w14:solidFill>
          </w14:textFill>
        </w:rPr>
        <w:t>开通建信理财两期开放式产品快速赎回功能</w:t>
      </w:r>
      <w:r>
        <w:rPr>
          <w:rFonts w:hint="eastAsia" w:ascii="彩虹小标宋" w:hAnsi="微软雅黑" w:eastAsia="彩虹小标宋" w:cs="Arial"/>
          <w:bCs/>
          <w:color w:val="000000" w:themeColor="text1"/>
          <w:kern w:val="0"/>
          <w:sz w:val="44"/>
          <w:szCs w:val="44"/>
          <w14:textFill>
            <w14:solidFill>
              <w14:schemeClr w14:val="tx1"/>
            </w14:solidFill>
          </w14:textFill>
        </w:rPr>
        <w:t>的公告</w:t>
      </w:r>
    </w:p>
    <w:p w14:paraId="1BD4811C">
      <w:pPr>
        <w:widowControl/>
        <w:snapToGrid w:val="0"/>
        <w:spacing w:line="560" w:lineRule="exact"/>
        <w:rPr>
          <w:rFonts w:ascii="彩虹小标宋" w:hAnsi="微软雅黑" w:eastAsia="彩虹小标宋" w:cs="Arial"/>
          <w:b/>
          <w:bCs/>
          <w:color w:val="000000" w:themeColor="text1"/>
          <w:kern w:val="0"/>
          <w:sz w:val="44"/>
          <w:szCs w:val="44"/>
          <w14:textFill>
            <w14:solidFill>
              <w14:schemeClr w14:val="tx1"/>
            </w14:solidFill>
          </w14:textFill>
        </w:rPr>
      </w:pPr>
    </w:p>
    <w:p w14:paraId="4269CC04">
      <w:pPr>
        <w:widowControl/>
        <w:snapToGrid w:val="0"/>
        <w:spacing w:line="560" w:lineRule="exact"/>
        <w:rPr>
          <w:rFonts w:ascii="彩虹粗仿宋" w:hAnsi="微软雅黑" w:eastAsia="彩虹粗仿宋" w:cs="Arial"/>
          <w:color w:val="666666"/>
          <w:kern w:val="0"/>
          <w:sz w:val="32"/>
          <w:szCs w:val="32"/>
        </w:rPr>
      </w:pPr>
      <w:r>
        <w:rPr>
          <w:rFonts w:hint="eastAsia" w:ascii="彩虹粗仿宋" w:hAnsi="宋体" w:eastAsia="彩虹粗仿宋" w:cs="Arial"/>
          <w:color w:val="000000"/>
          <w:kern w:val="0"/>
          <w:sz w:val="32"/>
          <w:szCs w:val="32"/>
        </w:rPr>
        <w:t>尊敬的投资者：</w:t>
      </w:r>
    </w:p>
    <w:p w14:paraId="6FC47BCF">
      <w:pPr>
        <w:widowControl/>
        <w:snapToGrid w:val="0"/>
        <w:spacing w:line="560" w:lineRule="exact"/>
        <w:ind w:firstLine="640" w:firstLineChars="200"/>
        <w:rPr>
          <w:rFonts w:ascii="彩虹粗仿宋" w:hAnsi="宋体" w:eastAsia="彩虹粗仿宋" w:cs="Arial"/>
          <w:color w:val="000000"/>
          <w:kern w:val="0"/>
          <w:sz w:val="32"/>
          <w:szCs w:val="32"/>
        </w:rPr>
      </w:pPr>
      <w:r>
        <w:rPr>
          <w:rFonts w:hint="eastAsia" w:ascii="彩虹粗仿宋" w:hAnsi="宋体" w:eastAsia="彩虹粗仿宋" w:cs="Arial"/>
          <w:color w:val="000000"/>
          <w:kern w:val="0"/>
          <w:sz w:val="32"/>
          <w:szCs w:val="32"/>
        </w:rPr>
        <w:t>为提升客户理财投资体验，建信理财拟于202</w:t>
      </w:r>
      <w:r>
        <w:rPr>
          <w:rFonts w:hint="eastAsia" w:ascii="彩虹粗仿宋" w:hAnsi="宋体" w:eastAsia="彩虹粗仿宋" w:cs="Arial"/>
          <w:color w:val="000000"/>
          <w:kern w:val="0"/>
          <w:sz w:val="32"/>
          <w:szCs w:val="32"/>
          <w:lang w:val="en-US" w:eastAsia="zh-CN"/>
        </w:rPr>
        <w:t>6</w:t>
      </w:r>
      <w:r>
        <w:rPr>
          <w:rFonts w:hint="eastAsia" w:ascii="彩虹粗仿宋" w:hAnsi="宋体" w:eastAsia="彩虹粗仿宋" w:cs="Arial"/>
          <w:color w:val="000000"/>
          <w:kern w:val="0"/>
          <w:sz w:val="32"/>
          <w:szCs w:val="32"/>
        </w:rPr>
        <w:t>年</w:t>
      </w:r>
      <w:r>
        <w:rPr>
          <w:rFonts w:hint="eastAsia" w:ascii="彩虹粗仿宋" w:hAnsi="宋体" w:eastAsia="彩虹粗仿宋" w:cs="Arial"/>
          <w:color w:val="000000"/>
          <w:kern w:val="0"/>
          <w:sz w:val="32"/>
          <w:szCs w:val="32"/>
          <w:lang w:val="en-US" w:eastAsia="zh-CN"/>
        </w:rPr>
        <w:t>8</w:t>
      </w:r>
      <w:r>
        <w:rPr>
          <w:rFonts w:hint="eastAsia" w:ascii="彩虹粗仿宋" w:hAnsi="宋体" w:eastAsia="彩虹粗仿宋" w:cs="Arial"/>
          <w:color w:val="000000"/>
          <w:kern w:val="0"/>
          <w:sz w:val="32"/>
          <w:szCs w:val="32"/>
        </w:rPr>
        <w:t>月</w:t>
      </w:r>
      <w:r>
        <w:rPr>
          <w:rFonts w:hint="eastAsia" w:ascii="彩虹粗仿宋" w:hAnsi="宋体" w:eastAsia="彩虹粗仿宋" w:cs="Arial"/>
          <w:color w:val="000000"/>
          <w:kern w:val="0"/>
          <w:sz w:val="32"/>
          <w:szCs w:val="32"/>
          <w:lang w:val="en-US" w:eastAsia="zh-CN"/>
        </w:rPr>
        <w:t>28</w:t>
      </w:r>
      <w:r>
        <w:rPr>
          <w:rFonts w:hint="eastAsia" w:ascii="彩虹粗仿宋" w:hAnsi="宋体" w:eastAsia="彩虹粗仿宋" w:cs="Arial"/>
          <w:color w:val="000000"/>
          <w:kern w:val="0"/>
          <w:sz w:val="32"/>
          <w:szCs w:val="32"/>
        </w:rPr>
        <w:t>日起（含）</w:t>
      </w:r>
      <w:r>
        <w:rPr>
          <w:rFonts w:hint="eastAsia" w:ascii="彩虹粗仿宋" w:hAnsi="宋体" w:eastAsia="彩虹粗仿宋" w:cs="Arial"/>
          <w:color w:val="000000"/>
          <w:kern w:val="0"/>
          <w:sz w:val="32"/>
          <w:szCs w:val="32"/>
          <w:lang w:val="en-US" w:eastAsia="zh-CN"/>
        </w:rPr>
        <w:t>开通两期产品快速赎回功能，并</w:t>
      </w:r>
      <w:r>
        <w:rPr>
          <w:rFonts w:hint="eastAsia" w:ascii="彩虹粗仿宋" w:hAnsi="宋体" w:eastAsia="彩虹粗仿宋" w:cs="Arial"/>
          <w:color w:val="000000"/>
          <w:kern w:val="0"/>
          <w:sz w:val="32"/>
          <w:szCs w:val="32"/>
        </w:rPr>
        <w:t>调整收益分配</w:t>
      </w:r>
      <w:r>
        <w:rPr>
          <w:rFonts w:hint="eastAsia" w:ascii="彩虹粗仿宋" w:hAnsi="宋体" w:eastAsia="彩虹粗仿宋" w:cs="Arial"/>
          <w:color w:val="000000"/>
          <w:kern w:val="0"/>
          <w:sz w:val="32"/>
          <w:szCs w:val="32"/>
          <w:lang w:val="en-US" w:eastAsia="zh-CN"/>
        </w:rPr>
        <w:t>及</w:t>
      </w:r>
      <w:r>
        <w:rPr>
          <w:rFonts w:hint="eastAsia" w:ascii="彩虹粗仿宋" w:hAnsi="宋体" w:eastAsia="彩虹粗仿宋" w:cs="Arial"/>
          <w:color w:val="000000"/>
          <w:kern w:val="0"/>
          <w:sz w:val="32"/>
          <w:szCs w:val="32"/>
        </w:rPr>
        <w:t>产品交易规则，产品明细和调整</w:t>
      </w:r>
      <w:r>
        <w:rPr>
          <w:rFonts w:ascii="彩虹粗仿宋" w:hAnsi="宋体" w:eastAsia="彩虹粗仿宋" w:cs="Arial"/>
          <w:color w:val="000000"/>
          <w:kern w:val="0"/>
          <w:sz w:val="32"/>
          <w:szCs w:val="32"/>
        </w:rPr>
        <w:t>内容</w:t>
      </w:r>
      <w:r>
        <w:rPr>
          <w:rFonts w:hint="eastAsia" w:ascii="彩虹粗仿宋" w:hAnsi="宋体" w:eastAsia="彩虹粗仿宋" w:cs="Arial"/>
          <w:color w:val="000000"/>
          <w:kern w:val="0"/>
          <w:sz w:val="32"/>
          <w:szCs w:val="32"/>
        </w:rPr>
        <w:t>具体</w:t>
      </w:r>
      <w:r>
        <w:rPr>
          <w:rFonts w:ascii="彩虹粗仿宋" w:hAnsi="宋体" w:eastAsia="彩虹粗仿宋" w:cs="Arial"/>
          <w:color w:val="000000"/>
          <w:kern w:val="0"/>
          <w:sz w:val="32"/>
          <w:szCs w:val="32"/>
        </w:rPr>
        <w:t>如下</w:t>
      </w:r>
      <w:r>
        <w:rPr>
          <w:rFonts w:hint="eastAsia" w:ascii="彩虹粗仿宋" w:hAnsi="宋体" w:eastAsia="彩虹粗仿宋" w:cs="Arial"/>
          <w:color w:val="000000"/>
          <w:kern w:val="0"/>
          <w:sz w:val="32"/>
          <w:szCs w:val="32"/>
        </w:rPr>
        <w:t>：</w:t>
      </w:r>
    </w:p>
    <w:p w14:paraId="5FCEA38B">
      <w:pPr>
        <w:widowControl/>
        <w:snapToGrid w:val="0"/>
        <w:spacing w:line="560" w:lineRule="exact"/>
        <w:ind w:firstLine="640" w:firstLineChars="200"/>
        <w:outlineLvl w:val="0"/>
        <w:rPr>
          <w:rFonts w:ascii="彩虹黑体" w:hAnsi="宋体" w:eastAsia="彩虹黑体" w:cs="Arial"/>
          <w:color w:val="000000"/>
          <w:kern w:val="0"/>
          <w:sz w:val="32"/>
          <w:szCs w:val="32"/>
        </w:rPr>
      </w:pPr>
      <w:r>
        <w:rPr>
          <w:rFonts w:hint="eastAsia" w:ascii="彩虹黑体" w:hAnsi="宋体" w:eastAsia="彩虹黑体" w:cs="Arial"/>
          <w:color w:val="000000"/>
          <w:kern w:val="0"/>
          <w:sz w:val="32"/>
          <w:szCs w:val="32"/>
        </w:rPr>
        <w:t>一、产品明细</w:t>
      </w:r>
    </w:p>
    <w:tbl>
      <w:tblPr>
        <w:tblStyle w:val="2"/>
        <w:tblW w:w="8397" w:type="dxa"/>
        <w:jc w:val="center"/>
        <w:tblBorders>
          <w:top w:val="thinThickSmallGap" w:color="auto" w:sz="2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962"/>
        <w:gridCol w:w="3435"/>
      </w:tblGrid>
      <w:tr w14:paraId="38F8C81E">
        <w:tblPrEx>
          <w:tblBorders>
            <w:top w:val="thinThickSmallGap" w:color="auto" w:sz="2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6" w:hRule="atLeast"/>
          <w:tblHeader/>
          <w:jc w:val="center"/>
        </w:trPr>
        <w:tc>
          <w:tcPr>
            <w:tcW w:w="4962" w:type="dxa"/>
            <w:vAlign w:val="center"/>
          </w:tcPr>
          <w:p w14:paraId="5A4BEB16">
            <w:pPr>
              <w:widowControl/>
              <w:snapToGrid w:val="0"/>
              <w:spacing w:line="400" w:lineRule="exact"/>
              <w:jc w:val="center"/>
              <w:rPr>
                <w:rFonts w:ascii="宋体" w:hAnsi="宋体" w:eastAsia="宋体" w:cs="Arial"/>
                <w:b/>
                <w:kern w:val="0"/>
                <w:szCs w:val="21"/>
              </w:rPr>
            </w:pPr>
            <w:r>
              <w:rPr>
                <w:rFonts w:hint="eastAsia" w:ascii="宋体" w:hAnsi="宋体" w:eastAsia="宋体" w:cs="Arial"/>
                <w:b/>
                <w:kern w:val="0"/>
                <w:szCs w:val="21"/>
              </w:rPr>
              <w:t>产品名称</w:t>
            </w:r>
          </w:p>
        </w:tc>
        <w:tc>
          <w:tcPr>
            <w:tcW w:w="3435" w:type="dxa"/>
            <w:vAlign w:val="center"/>
          </w:tcPr>
          <w:p w14:paraId="2F734778">
            <w:pPr>
              <w:jc w:val="center"/>
              <w:rPr>
                <w:rFonts w:ascii="宋体" w:hAnsi="宋体" w:eastAsia="宋体" w:cs="Arial"/>
                <w:b/>
                <w:kern w:val="0"/>
                <w:szCs w:val="21"/>
              </w:rPr>
            </w:pPr>
            <w:r>
              <w:rPr>
                <w:rFonts w:hint="eastAsia" w:ascii="宋体" w:hAnsi="宋体" w:eastAsia="宋体" w:cs="Arial"/>
                <w:b/>
                <w:kern w:val="0"/>
                <w:szCs w:val="21"/>
              </w:rPr>
              <w:t>全国银行业理财信息登记系统编码</w:t>
            </w:r>
          </w:p>
        </w:tc>
      </w:tr>
      <w:tr w14:paraId="65911E25">
        <w:tblPrEx>
          <w:tblBorders>
            <w:top w:val="thinThickSmallGap" w:color="auto" w:sz="2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962" w:type="dxa"/>
            <w:vAlign w:val="center"/>
          </w:tcPr>
          <w:p w14:paraId="7E1BF147">
            <w:pPr>
              <w:spacing w:line="240" w:lineRule="auto"/>
              <w:jc w:val="center"/>
              <w:rPr>
                <w:rFonts w:hint="eastAsia" w:ascii="宋体" w:hAnsi="宋体" w:eastAsia="宋体"/>
                <w:color w:val="000000"/>
                <w:szCs w:val="21"/>
                <w:lang w:eastAsia="zh-CN"/>
              </w:rPr>
            </w:pPr>
            <w:r>
              <w:rPr>
                <w:rFonts w:hint="eastAsia" w:ascii="宋体" w:hAnsi="宋体" w:eastAsia="宋体"/>
                <w:color w:val="000000"/>
                <w:sz w:val="18"/>
                <w:szCs w:val="18"/>
              </w:rPr>
              <w:t>建信理财龙宝现金管理类产品9号</w:t>
            </w:r>
          </w:p>
        </w:tc>
        <w:tc>
          <w:tcPr>
            <w:tcW w:w="3435" w:type="dxa"/>
            <w:vAlign w:val="center"/>
          </w:tcPr>
          <w:p w14:paraId="11041B1F">
            <w:pPr>
              <w:spacing w:line="240" w:lineRule="auto"/>
              <w:jc w:val="center"/>
              <w:rPr>
                <w:rFonts w:hint="eastAsia" w:ascii="宋体" w:hAnsi="宋体" w:eastAsia="宋体"/>
                <w:color w:val="000000"/>
                <w:szCs w:val="21"/>
                <w:lang w:eastAsia="zh-CN"/>
              </w:rPr>
            </w:pPr>
            <w:r>
              <w:rPr>
                <w:rFonts w:hint="eastAsia" w:ascii="宋体" w:hAnsi="宋体" w:eastAsia="宋体"/>
                <w:color w:val="000000"/>
                <w:sz w:val="18"/>
                <w:szCs w:val="18"/>
              </w:rPr>
              <w:t>Z7000725001111</w:t>
            </w:r>
          </w:p>
        </w:tc>
      </w:tr>
      <w:tr w14:paraId="168620B4">
        <w:tblPrEx>
          <w:tblBorders>
            <w:top w:val="thinThickSmallGap" w:color="auto" w:sz="2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962" w:type="dxa"/>
            <w:vAlign w:val="center"/>
          </w:tcPr>
          <w:p w14:paraId="3041B5AB">
            <w:pPr>
              <w:spacing w:line="240" w:lineRule="auto"/>
              <w:jc w:val="center"/>
              <w:rPr>
                <w:rFonts w:hint="eastAsia" w:ascii="宋体" w:hAnsi="宋体" w:eastAsia="宋体"/>
                <w:color w:val="000000"/>
                <w:sz w:val="18"/>
                <w:szCs w:val="18"/>
              </w:rPr>
            </w:pPr>
            <w:r>
              <w:rPr>
                <w:rFonts w:hint="eastAsia" w:ascii="宋体" w:hAnsi="宋体" w:eastAsia="宋体"/>
                <w:color w:val="000000"/>
                <w:sz w:val="18"/>
                <w:szCs w:val="18"/>
              </w:rPr>
              <w:t>建信理财龙宝（代工专享）按日开放式净值型理财产品1号</w:t>
            </w:r>
          </w:p>
        </w:tc>
        <w:tc>
          <w:tcPr>
            <w:tcW w:w="3435" w:type="dxa"/>
            <w:vAlign w:val="center"/>
          </w:tcPr>
          <w:p w14:paraId="01CFF54F">
            <w:pPr>
              <w:spacing w:line="240" w:lineRule="auto"/>
              <w:jc w:val="center"/>
              <w:rPr>
                <w:rFonts w:hint="eastAsia" w:ascii="宋体" w:hAnsi="宋体" w:eastAsia="宋体"/>
                <w:color w:val="000000"/>
                <w:sz w:val="18"/>
                <w:szCs w:val="18"/>
              </w:rPr>
            </w:pPr>
            <w:r>
              <w:rPr>
                <w:rFonts w:hint="eastAsia" w:ascii="宋体" w:hAnsi="宋体" w:eastAsia="宋体"/>
                <w:color w:val="000000"/>
                <w:sz w:val="18"/>
                <w:szCs w:val="18"/>
              </w:rPr>
              <w:t>Z7000724000206</w:t>
            </w:r>
          </w:p>
        </w:tc>
      </w:tr>
    </w:tbl>
    <w:p w14:paraId="4F406DE4">
      <w:pPr>
        <w:widowControl/>
        <w:snapToGrid w:val="0"/>
        <w:spacing w:line="560" w:lineRule="exact"/>
        <w:ind w:firstLine="640" w:firstLineChars="200"/>
        <w:outlineLvl w:val="0"/>
        <w:rPr>
          <w:rFonts w:ascii="彩虹黑体" w:hAnsi="宋体" w:eastAsia="彩虹黑体" w:cs="Arial"/>
          <w:color w:val="000000"/>
          <w:kern w:val="0"/>
          <w:sz w:val="32"/>
          <w:szCs w:val="32"/>
        </w:rPr>
      </w:pPr>
      <w:r>
        <w:rPr>
          <w:rFonts w:hint="eastAsia" w:ascii="彩虹黑体" w:hAnsi="宋体" w:eastAsia="彩虹黑体" w:cs="Arial"/>
          <w:color w:val="000000"/>
          <w:kern w:val="0"/>
          <w:sz w:val="32"/>
          <w:szCs w:val="32"/>
        </w:rPr>
        <w:t>二、开通快速赎回功能</w:t>
      </w:r>
    </w:p>
    <w:p w14:paraId="05C88B88">
      <w:pPr>
        <w:widowControl/>
        <w:snapToGrid w:val="0"/>
        <w:spacing w:line="560" w:lineRule="exact"/>
        <w:ind w:firstLine="640" w:firstLineChars="200"/>
        <w:rPr>
          <w:rFonts w:ascii="彩虹粗仿宋" w:hAnsi="宋体" w:eastAsia="彩虹粗仿宋" w:cs="Arial"/>
          <w:color w:val="000000"/>
          <w:kern w:val="0"/>
          <w:sz w:val="32"/>
          <w:szCs w:val="32"/>
        </w:rPr>
      </w:pPr>
      <w:r>
        <w:rPr>
          <w:rFonts w:hint="eastAsia" w:ascii="彩虹粗仿宋" w:hAnsi="宋体" w:eastAsia="彩虹粗仿宋" w:cs="Arial"/>
          <w:color w:val="000000"/>
          <w:kern w:val="0"/>
          <w:sz w:val="32"/>
          <w:szCs w:val="32"/>
        </w:rPr>
        <w:t>1.产品存续期内，投资者可在每个自然日发起快速赎回（系统处理暂停服务时间除外），上述时间段内，单个投资者在单个销售渠道持有的单只产品单个自然日的累计快速赎回份额不超过1万份。快速赎回申请通过后，如无特殊情况，快速赎回资金将于赎回申请日当日到账，快速赎回申请无法撤销。</w:t>
      </w:r>
    </w:p>
    <w:p w14:paraId="3FEB56E3">
      <w:pPr>
        <w:widowControl/>
        <w:snapToGrid w:val="0"/>
        <w:spacing w:line="560" w:lineRule="exact"/>
        <w:ind w:firstLine="640" w:firstLineChars="200"/>
        <w:rPr>
          <w:rFonts w:ascii="彩虹粗仿宋" w:hAnsi="宋体" w:eastAsia="彩虹粗仿宋" w:cs="Arial"/>
          <w:color w:val="000000"/>
          <w:kern w:val="0"/>
          <w:sz w:val="32"/>
          <w:szCs w:val="32"/>
        </w:rPr>
      </w:pPr>
      <w:r>
        <w:rPr>
          <w:rFonts w:hint="eastAsia" w:ascii="彩虹粗仿宋" w:hAnsi="宋体" w:eastAsia="彩虹粗仿宋" w:cs="Arial"/>
          <w:color w:val="000000"/>
          <w:kern w:val="0"/>
          <w:sz w:val="32"/>
          <w:szCs w:val="32"/>
        </w:rPr>
        <w:t>2.投资者发起快速赎回，所获得的快速赎回金额为快速赎回份额*1元/份，不包括申请快速赎回份额在赎回申请日前的历史未结转收益，亦不包括赎回申请当日的收益。历史未结转收益将按收益分配规则继续结转至投资者理财账户，结转后投资者可对这部分份额发起普通赎回或快速赎回。</w:t>
      </w:r>
    </w:p>
    <w:p w14:paraId="24156AE6">
      <w:pPr>
        <w:spacing w:line="560" w:lineRule="exact"/>
        <w:ind w:firstLine="640" w:firstLineChars="200"/>
        <w:rPr>
          <w:rFonts w:ascii="彩虹粗仿宋" w:hAnsi="宋体" w:eastAsia="彩虹粗仿宋" w:cs="Arial"/>
          <w:color w:val="000000"/>
          <w:kern w:val="0"/>
          <w:sz w:val="32"/>
          <w:szCs w:val="32"/>
        </w:rPr>
      </w:pPr>
      <w:r>
        <w:rPr>
          <w:rFonts w:hint="eastAsia" w:ascii="彩虹粗仿宋" w:hAnsi="宋体" w:eastAsia="彩虹粗仿宋" w:cs="Arial"/>
          <w:color w:val="000000"/>
          <w:kern w:val="0"/>
          <w:sz w:val="32"/>
          <w:szCs w:val="32"/>
        </w:rPr>
        <w:t>快速赎回服务的具体规则以快速赎回服务协议为准。</w:t>
      </w:r>
    </w:p>
    <w:p w14:paraId="2C140262">
      <w:pPr>
        <w:widowControl/>
        <w:snapToGrid w:val="0"/>
        <w:spacing w:line="560" w:lineRule="exact"/>
        <w:ind w:firstLine="640" w:firstLineChars="200"/>
        <w:outlineLvl w:val="0"/>
        <w:rPr>
          <w:rFonts w:ascii="彩虹粗仿宋" w:hAnsi="宋体" w:eastAsia="彩虹粗仿宋" w:cs="Arial"/>
          <w:b/>
          <w:color w:val="000000"/>
          <w:kern w:val="0"/>
          <w:sz w:val="32"/>
          <w:szCs w:val="32"/>
        </w:rPr>
      </w:pPr>
      <w:r>
        <w:rPr>
          <w:rFonts w:hint="eastAsia" w:ascii="彩虹黑体" w:hAnsi="宋体" w:eastAsia="彩虹黑体" w:cs="Arial"/>
          <w:color w:val="000000"/>
          <w:kern w:val="0"/>
          <w:sz w:val="32"/>
          <w:szCs w:val="32"/>
          <w:lang w:val="en-US" w:eastAsia="zh-CN"/>
        </w:rPr>
        <w:t>三</w:t>
      </w:r>
      <w:r>
        <w:rPr>
          <w:rFonts w:hint="eastAsia" w:ascii="彩虹黑体" w:hAnsi="宋体" w:eastAsia="彩虹黑体" w:cs="Arial"/>
          <w:color w:val="000000"/>
          <w:kern w:val="0"/>
          <w:sz w:val="32"/>
          <w:szCs w:val="32"/>
        </w:rPr>
        <w:t>、调整收益分配规则和产品交易规则</w:t>
      </w:r>
    </w:p>
    <w:tbl>
      <w:tblPr>
        <w:tblStyle w:val="2"/>
        <w:tblW w:w="0" w:type="auto"/>
        <w:jc w:val="center"/>
        <w:tblBorders>
          <w:top w:val="thinThickSmallGap" w:color="auto" w:sz="2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30"/>
        <w:gridCol w:w="3588"/>
        <w:gridCol w:w="3904"/>
      </w:tblGrid>
      <w:tr w14:paraId="702180B6">
        <w:tblPrEx>
          <w:tblBorders>
            <w:top w:val="thinThickSmallGap" w:color="auto" w:sz="24" w:space="0"/>
            <w:left w:val="none" w:color="auto" w:sz="0" w:space="0"/>
            <w:bottom w:val="single" w:color="auto" w:sz="4" w:space="0"/>
            <w:right w:val="none" w:color="auto" w:sz="0" w:space="0"/>
            <w:insideH w:val="single" w:color="auto" w:sz="4" w:space="0"/>
            <w:insideV w:val="single" w:color="auto" w:sz="4" w:space="0"/>
          </w:tblBorders>
        </w:tblPrEx>
        <w:trPr>
          <w:trHeight w:val="20" w:hRule="atLeast"/>
          <w:tblHeader/>
          <w:jc w:val="center"/>
        </w:trPr>
        <w:tc>
          <w:tcPr>
            <w:tcW w:w="1030" w:type="dxa"/>
          </w:tcPr>
          <w:p w14:paraId="6848AD85">
            <w:pPr>
              <w:snapToGrid w:val="0"/>
              <w:jc w:val="center"/>
              <w:rPr>
                <w:rFonts w:ascii="宋体" w:hAnsi="宋体" w:eastAsia="宋体" w:cs="Times New Roman"/>
                <w:b/>
                <w:sz w:val="24"/>
                <w:szCs w:val="24"/>
              </w:rPr>
            </w:pPr>
            <w:r>
              <w:rPr>
                <w:rFonts w:hint="eastAsia" w:ascii="宋体" w:hAnsi="宋体" w:eastAsia="宋体" w:cs="Times New Roman"/>
                <w:b/>
                <w:sz w:val="24"/>
                <w:szCs w:val="24"/>
              </w:rPr>
              <w:t>调整内容</w:t>
            </w:r>
          </w:p>
        </w:tc>
        <w:tc>
          <w:tcPr>
            <w:tcW w:w="3588" w:type="dxa"/>
            <w:vAlign w:val="center"/>
          </w:tcPr>
          <w:p w14:paraId="06717586">
            <w:pPr>
              <w:snapToGrid w:val="0"/>
              <w:jc w:val="center"/>
              <w:rPr>
                <w:rFonts w:ascii="宋体" w:hAnsi="宋体" w:eastAsia="宋体" w:cs="Times New Roman"/>
                <w:b/>
                <w:sz w:val="24"/>
                <w:szCs w:val="24"/>
              </w:rPr>
            </w:pPr>
            <w:r>
              <w:rPr>
                <w:rFonts w:hint="eastAsia" w:ascii="宋体" w:hAnsi="宋体" w:eastAsia="宋体" w:cs="Times New Roman"/>
                <w:b/>
                <w:sz w:val="24"/>
                <w:szCs w:val="24"/>
              </w:rPr>
              <w:t>调整前</w:t>
            </w:r>
          </w:p>
        </w:tc>
        <w:tc>
          <w:tcPr>
            <w:tcW w:w="3904" w:type="dxa"/>
            <w:vAlign w:val="center"/>
          </w:tcPr>
          <w:p w14:paraId="49B6427D">
            <w:pPr>
              <w:snapToGrid w:val="0"/>
              <w:jc w:val="center"/>
              <w:rPr>
                <w:rFonts w:ascii="宋体" w:hAnsi="宋体" w:eastAsia="宋体" w:cs="Times New Roman"/>
                <w:b/>
                <w:sz w:val="24"/>
                <w:szCs w:val="24"/>
              </w:rPr>
            </w:pPr>
            <w:r>
              <w:rPr>
                <w:rFonts w:hint="eastAsia" w:ascii="宋体" w:hAnsi="宋体" w:eastAsia="宋体" w:cs="Times New Roman"/>
                <w:b/>
                <w:sz w:val="24"/>
                <w:szCs w:val="24"/>
              </w:rPr>
              <w:t>调整后</w:t>
            </w:r>
          </w:p>
        </w:tc>
      </w:tr>
      <w:tr w14:paraId="39B5D2DD">
        <w:tblPrEx>
          <w:tblBorders>
            <w:top w:val="thinThickSmallGap" w:color="auto" w:sz="2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30" w:type="dxa"/>
            <w:vAlign w:val="center"/>
          </w:tcPr>
          <w:p w14:paraId="754DE9D2">
            <w:pPr>
              <w:snapToGrid w:val="0"/>
              <w:jc w:val="center"/>
              <w:rPr>
                <w:rFonts w:ascii="宋体" w:hAnsi="宋体" w:eastAsia="宋体"/>
                <w:sz w:val="24"/>
                <w:szCs w:val="24"/>
              </w:rPr>
            </w:pPr>
            <w:r>
              <w:rPr>
                <w:rFonts w:hint="eastAsia" w:ascii="宋体" w:hAnsi="宋体" w:eastAsia="宋体"/>
                <w:sz w:val="24"/>
                <w:szCs w:val="24"/>
              </w:rPr>
              <w:t>收益分配</w:t>
            </w:r>
          </w:p>
        </w:tc>
        <w:tc>
          <w:tcPr>
            <w:tcW w:w="3588" w:type="dxa"/>
            <w:vAlign w:val="center"/>
          </w:tcPr>
          <w:p w14:paraId="6EA3427A">
            <w:pPr>
              <w:snapToGrid w:val="0"/>
              <w:ind w:firstLine="480" w:firstLineChars="200"/>
              <w:rPr>
                <w:rFonts w:ascii="宋体" w:hAnsi="宋体" w:eastAsia="宋体"/>
                <w:sz w:val="24"/>
                <w:szCs w:val="24"/>
              </w:rPr>
            </w:pPr>
            <w:r>
              <w:rPr>
                <w:rFonts w:hint="eastAsia" w:ascii="宋体" w:hAnsi="宋体" w:eastAsia="宋体"/>
                <w:sz w:val="24"/>
                <w:szCs w:val="24"/>
              </w:rPr>
              <w:t>产品每个开放日（T日）将上一开放日（T-1日）和后续非开放日实现的净收益通过分红转份额方式进行分配。</w:t>
            </w:r>
          </w:p>
        </w:tc>
        <w:tc>
          <w:tcPr>
            <w:tcW w:w="3904" w:type="dxa"/>
            <w:vAlign w:val="center"/>
          </w:tcPr>
          <w:p w14:paraId="083A254E">
            <w:pPr>
              <w:snapToGrid w:val="0"/>
              <w:ind w:firstLine="480" w:firstLineChars="200"/>
              <w:rPr>
                <w:rFonts w:ascii="宋体" w:hAnsi="宋体" w:eastAsia="宋体" w:cs="Times New Roman"/>
                <w:color w:val="000000" w:themeColor="text1"/>
                <w:kern w:val="0"/>
                <w:sz w:val="24"/>
                <w:szCs w:val="24"/>
                <w14:textFill>
                  <w14:solidFill>
                    <w14:schemeClr w14:val="tx1"/>
                  </w14:solidFill>
                </w14:textFill>
              </w:rPr>
            </w:pPr>
            <w:r>
              <w:rPr>
                <w:rFonts w:hint="eastAsia" w:ascii="宋体" w:hAnsi="宋体" w:eastAsia="宋体"/>
                <w:sz w:val="24"/>
                <w:szCs w:val="24"/>
              </w:rPr>
              <w:t>产品每个开放日（T日）将T-2开放日（含）至T-1开放日（不含）期间实现的净收益通过分红转份额方式进行分配。</w:t>
            </w:r>
          </w:p>
        </w:tc>
      </w:tr>
      <w:tr w14:paraId="1EFADA5E">
        <w:tblPrEx>
          <w:tblBorders>
            <w:top w:val="thinThickSmallGap" w:color="auto" w:sz="2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30" w:type="dxa"/>
            <w:vAlign w:val="center"/>
          </w:tcPr>
          <w:p w14:paraId="0A3A595E">
            <w:pPr>
              <w:snapToGrid w:val="0"/>
              <w:jc w:val="center"/>
              <w:rPr>
                <w:rFonts w:ascii="宋体" w:hAnsi="宋体" w:eastAsia="宋体"/>
                <w:sz w:val="24"/>
                <w:szCs w:val="24"/>
              </w:rPr>
            </w:pPr>
            <w:r>
              <w:rPr>
                <w:rFonts w:hint="eastAsia" w:ascii="宋体" w:hAnsi="宋体" w:eastAsia="宋体"/>
                <w:sz w:val="24"/>
                <w:szCs w:val="24"/>
              </w:rPr>
              <w:t>产品赎回及确认</w:t>
            </w:r>
          </w:p>
        </w:tc>
        <w:tc>
          <w:tcPr>
            <w:tcW w:w="3588" w:type="dxa"/>
            <w:vAlign w:val="center"/>
          </w:tcPr>
          <w:p w14:paraId="5F12ABBE">
            <w:pPr>
              <w:snapToGrid w:val="0"/>
              <w:ind w:firstLine="480" w:firstLineChars="200"/>
              <w:rPr>
                <w:rFonts w:ascii="宋体" w:hAnsi="宋体" w:eastAsia="宋体"/>
                <w:sz w:val="24"/>
                <w:szCs w:val="24"/>
              </w:rPr>
            </w:pPr>
            <w:r>
              <w:rPr>
                <w:rFonts w:hint="eastAsia" w:ascii="宋体" w:hAnsi="宋体" w:eastAsia="宋体"/>
                <w:sz w:val="24"/>
                <w:szCs w:val="24"/>
              </w:rPr>
              <w:t>产品存续期内，投资者可在开放日的赎回时间内提出赎回申请，也可撤销当日的赎回申请。</w:t>
            </w:r>
          </w:p>
          <w:p w14:paraId="6A5383C5">
            <w:pPr>
              <w:snapToGrid w:val="0"/>
              <w:ind w:firstLine="480" w:firstLineChars="200"/>
              <w:rPr>
                <w:rFonts w:ascii="宋体" w:hAnsi="宋体" w:eastAsia="宋体"/>
                <w:sz w:val="24"/>
                <w:szCs w:val="24"/>
              </w:rPr>
            </w:pPr>
            <w:r>
              <w:rPr>
                <w:rFonts w:hint="eastAsia" w:ascii="宋体" w:hAnsi="宋体" w:eastAsia="宋体"/>
                <w:sz w:val="24"/>
                <w:szCs w:val="24"/>
              </w:rPr>
              <w:t>如投资者发起全额赎回，赎回金额＝赎回份额×1元/份+赎回份额对应的未付收益。</w:t>
            </w:r>
          </w:p>
          <w:p w14:paraId="7B83110F">
            <w:pPr>
              <w:snapToGrid w:val="0"/>
              <w:ind w:firstLine="480" w:firstLineChars="200"/>
              <w:rPr>
                <w:rFonts w:ascii="宋体" w:hAnsi="宋体" w:eastAsia="宋体"/>
                <w:sz w:val="24"/>
                <w:szCs w:val="24"/>
              </w:rPr>
            </w:pPr>
            <w:r>
              <w:rPr>
                <w:rFonts w:hint="eastAsia" w:ascii="宋体" w:hAnsi="宋体" w:eastAsia="宋体"/>
                <w:sz w:val="24"/>
                <w:szCs w:val="24"/>
              </w:rPr>
              <w:t>如投资者发起部分赎回，赎回金额＝赎回份额×1元/份。赎回份额对应的未付收益将于T+1日结转至投资者理财账户。</w:t>
            </w:r>
          </w:p>
        </w:tc>
        <w:tc>
          <w:tcPr>
            <w:tcW w:w="3904" w:type="dxa"/>
            <w:vAlign w:val="center"/>
          </w:tcPr>
          <w:p w14:paraId="2508F844">
            <w:pPr>
              <w:snapToGrid w:val="0"/>
              <w:ind w:firstLine="480" w:firstLineChars="200"/>
              <w:rPr>
                <w:rFonts w:ascii="宋体" w:hAnsi="宋体" w:eastAsia="宋体" w:cs="Times New Roman"/>
                <w:color w:val="000000" w:themeColor="text1"/>
                <w:kern w:val="0"/>
                <w:sz w:val="24"/>
                <w:szCs w:val="24"/>
                <w14:textFill>
                  <w14:solidFill>
                    <w14:schemeClr w14:val="tx1"/>
                  </w14:solidFill>
                </w14:textFill>
              </w:rPr>
            </w:pPr>
            <w:r>
              <w:rPr>
                <w:rFonts w:hint="eastAsia" w:ascii="宋体" w:hAnsi="宋体" w:eastAsia="宋体" w:cs="Times New Roman"/>
                <w:color w:val="000000" w:themeColor="text1"/>
                <w:kern w:val="0"/>
                <w:sz w:val="24"/>
                <w:szCs w:val="24"/>
                <w14:textFill>
                  <w14:solidFill>
                    <w14:schemeClr w14:val="tx1"/>
                  </w14:solidFill>
                </w14:textFill>
              </w:rPr>
              <w:t>产品存续期内，投资者可在开放日的赎回时间内提出赎回份额申请，也可撤销当日的赎回申请。</w:t>
            </w:r>
          </w:p>
          <w:p w14:paraId="6428FD60">
            <w:pPr>
              <w:snapToGrid w:val="0"/>
              <w:ind w:firstLine="480" w:firstLineChars="200"/>
              <w:rPr>
                <w:rFonts w:ascii="宋体" w:hAnsi="宋体" w:eastAsia="宋体" w:cs="Times New Roman"/>
                <w:color w:val="000000" w:themeColor="text1"/>
                <w:kern w:val="0"/>
                <w:sz w:val="24"/>
                <w:szCs w:val="24"/>
                <w14:textFill>
                  <w14:solidFill>
                    <w14:schemeClr w14:val="tx1"/>
                  </w14:solidFill>
                </w14:textFill>
              </w:rPr>
            </w:pPr>
            <w:r>
              <w:rPr>
                <w:rFonts w:hint="eastAsia" w:ascii="宋体" w:hAnsi="宋体" w:eastAsia="宋体" w:cs="Times New Roman"/>
                <w:color w:val="000000" w:themeColor="text1"/>
                <w:kern w:val="0"/>
                <w:sz w:val="24"/>
                <w:szCs w:val="24"/>
                <w14:textFill>
                  <w14:solidFill>
                    <w14:schemeClr w14:val="tx1"/>
                  </w14:solidFill>
                </w14:textFill>
              </w:rPr>
              <w:t>赎回金额＝赎回份额×1元/份</w:t>
            </w:r>
          </w:p>
          <w:p w14:paraId="6E326934">
            <w:pPr>
              <w:snapToGrid w:val="0"/>
              <w:ind w:firstLine="480" w:firstLineChars="200"/>
              <w:rPr>
                <w:rFonts w:ascii="宋体" w:hAnsi="宋体" w:eastAsia="宋体"/>
                <w:sz w:val="24"/>
                <w:szCs w:val="24"/>
              </w:rPr>
            </w:pPr>
            <w:r>
              <w:rPr>
                <w:rFonts w:hint="eastAsia" w:ascii="宋体" w:hAnsi="宋体" w:eastAsia="宋体" w:cs="Times New Roman"/>
                <w:color w:val="000000" w:themeColor="text1"/>
                <w:kern w:val="0"/>
                <w:sz w:val="24"/>
                <w:szCs w:val="24"/>
                <w14:textFill>
                  <w14:solidFill>
                    <w14:schemeClr w14:val="tx1"/>
                  </w14:solidFill>
                </w14:textFill>
              </w:rPr>
              <w:t>如赎回份额对应的未付收益为正值，将按收益分配规则结转至投资者理财账户；如未付收益为负值，则从赎回金额中扣除。</w:t>
            </w:r>
          </w:p>
        </w:tc>
      </w:tr>
      <w:tr w14:paraId="5CAB8EA2">
        <w:tblPrEx>
          <w:tblBorders>
            <w:top w:val="thinThickSmallGap" w:color="auto" w:sz="2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30" w:type="dxa"/>
            <w:vAlign w:val="center"/>
          </w:tcPr>
          <w:p w14:paraId="27F9BD64">
            <w:pPr>
              <w:snapToGrid w:val="0"/>
              <w:jc w:val="center"/>
              <w:rPr>
                <w:rFonts w:ascii="宋体" w:hAnsi="宋体" w:eastAsia="宋体"/>
                <w:sz w:val="24"/>
                <w:szCs w:val="24"/>
              </w:rPr>
            </w:pPr>
            <w:r>
              <w:rPr>
                <w:rFonts w:hint="eastAsia" w:ascii="宋体" w:hAnsi="宋体" w:eastAsia="宋体"/>
                <w:sz w:val="24"/>
                <w:szCs w:val="24"/>
              </w:rPr>
              <w:t>产品工作日</w:t>
            </w:r>
          </w:p>
        </w:tc>
        <w:tc>
          <w:tcPr>
            <w:tcW w:w="3588" w:type="dxa"/>
            <w:vAlign w:val="center"/>
          </w:tcPr>
          <w:p w14:paraId="32E35E46">
            <w:pPr>
              <w:snapToGrid w:val="0"/>
              <w:rPr>
                <w:rFonts w:ascii="宋体" w:hAnsi="宋体" w:eastAsia="宋体"/>
                <w:sz w:val="24"/>
                <w:szCs w:val="24"/>
              </w:rPr>
            </w:pPr>
            <w:r>
              <w:rPr>
                <w:rFonts w:hint="eastAsia" w:ascii="宋体" w:hAnsi="宋体" w:eastAsia="宋体"/>
                <w:sz w:val="24"/>
                <w:szCs w:val="24"/>
              </w:rPr>
              <w:t>龙宝（代工专享）</w:t>
            </w:r>
            <w:r>
              <w:rPr>
                <w:rFonts w:hint="eastAsia" w:ascii="宋体" w:hAnsi="宋体" w:eastAsia="宋体"/>
                <w:sz w:val="24"/>
                <w:szCs w:val="24"/>
                <w:lang w:val="en-US" w:eastAsia="zh-CN"/>
              </w:rPr>
              <w:t>1号：</w:t>
            </w:r>
            <w:r>
              <w:rPr>
                <w:rFonts w:hint="eastAsia" w:ascii="宋体" w:hAnsi="宋体" w:eastAsia="宋体"/>
                <w:sz w:val="24"/>
                <w:szCs w:val="24"/>
              </w:rPr>
              <w:t>产品工作日是指上海证券交易所和深圳证券交易所的每一正常交易日</w:t>
            </w:r>
          </w:p>
        </w:tc>
        <w:tc>
          <w:tcPr>
            <w:tcW w:w="3904" w:type="dxa"/>
            <w:vAlign w:val="center"/>
          </w:tcPr>
          <w:p w14:paraId="57A47F11">
            <w:pPr>
              <w:snapToGrid w:val="0"/>
              <w:jc w:val="center"/>
              <w:rPr>
                <w:rFonts w:ascii="宋体" w:hAnsi="宋体" w:eastAsia="宋体" w:cs="Times New Roman"/>
                <w:color w:val="000000" w:themeColor="text1"/>
                <w:kern w:val="0"/>
                <w:sz w:val="24"/>
                <w:szCs w:val="24"/>
                <w14:textFill>
                  <w14:solidFill>
                    <w14:schemeClr w14:val="tx1"/>
                  </w14:solidFill>
                </w14:textFill>
              </w:rPr>
            </w:pPr>
            <w:r>
              <w:rPr>
                <w:rFonts w:hint="eastAsia" w:ascii="宋体" w:hAnsi="宋体" w:eastAsia="宋体"/>
                <w:sz w:val="24"/>
                <w:szCs w:val="24"/>
              </w:rPr>
              <w:t>龙宝（代工专享）</w:t>
            </w:r>
            <w:r>
              <w:rPr>
                <w:rFonts w:hint="eastAsia" w:ascii="宋体" w:hAnsi="宋体" w:eastAsia="宋体"/>
                <w:sz w:val="24"/>
                <w:szCs w:val="24"/>
                <w:lang w:val="en-US" w:eastAsia="zh-CN"/>
              </w:rPr>
              <w:t>1号：</w:t>
            </w:r>
            <w:bookmarkStart w:id="0" w:name="_GoBack"/>
            <w:bookmarkEnd w:id="0"/>
            <w:r>
              <w:rPr>
                <w:rFonts w:hint="eastAsia" w:ascii="宋体" w:hAnsi="宋体" w:eastAsia="宋体" w:cs="Times New Roman"/>
                <w:color w:val="000000" w:themeColor="text1"/>
                <w:kern w:val="0"/>
                <w:sz w:val="24"/>
                <w:szCs w:val="24"/>
                <w14:textFill>
                  <w14:solidFill>
                    <w14:schemeClr w14:val="tx1"/>
                  </w14:solidFill>
                </w14:textFill>
              </w:rPr>
              <w:t>产品工作日是指国家法定工作日</w:t>
            </w:r>
          </w:p>
        </w:tc>
      </w:tr>
    </w:tbl>
    <w:p w14:paraId="7BDC42C7">
      <w:pPr>
        <w:spacing w:line="560" w:lineRule="exact"/>
        <w:ind w:firstLine="640" w:firstLineChars="200"/>
        <w:rPr>
          <w:rFonts w:ascii="彩虹粗仿宋" w:hAnsi="宋体" w:eastAsia="彩虹粗仿宋" w:cs="Arial"/>
          <w:color w:val="000000"/>
          <w:kern w:val="0"/>
          <w:sz w:val="32"/>
          <w:szCs w:val="32"/>
        </w:rPr>
      </w:pPr>
      <w:r>
        <w:rPr>
          <w:rFonts w:hint="eastAsia" w:ascii="彩虹粗仿宋" w:hAnsi="宋体" w:eastAsia="彩虹粗仿宋" w:cs="Arial"/>
          <w:color w:val="000000"/>
          <w:kern w:val="0"/>
          <w:sz w:val="32"/>
          <w:szCs w:val="32"/>
        </w:rPr>
        <w:t>以上调整事项将于2</w:t>
      </w:r>
      <w:r>
        <w:rPr>
          <w:rFonts w:ascii="彩虹粗仿宋" w:hAnsi="宋体" w:eastAsia="彩虹粗仿宋" w:cs="Arial"/>
          <w:color w:val="000000"/>
          <w:kern w:val="0"/>
          <w:sz w:val="32"/>
          <w:szCs w:val="32"/>
        </w:rPr>
        <w:t>02</w:t>
      </w:r>
      <w:r>
        <w:rPr>
          <w:rFonts w:hint="eastAsia" w:ascii="彩虹粗仿宋" w:hAnsi="宋体" w:eastAsia="彩虹粗仿宋" w:cs="Arial"/>
          <w:color w:val="000000"/>
          <w:kern w:val="0"/>
          <w:sz w:val="32"/>
          <w:szCs w:val="32"/>
          <w:lang w:val="en-US" w:eastAsia="zh-CN"/>
        </w:rPr>
        <w:t>6</w:t>
      </w:r>
      <w:r>
        <w:rPr>
          <w:rFonts w:hint="eastAsia" w:ascii="彩虹粗仿宋" w:hAnsi="宋体" w:eastAsia="彩虹粗仿宋" w:cs="Arial"/>
          <w:color w:val="000000"/>
          <w:kern w:val="0"/>
          <w:sz w:val="32"/>
          <w:szCs w:val="32"/>
        </w:rPr>
        <w:t>年</w:t>
      </w:r>
      <w:r>
        <w:rPr>
          <w:rFonts w:hint="eastAsia" w:ascii="彩虹粗仿宋" w:hAnsi="宋体" w:eastAsia="彩虹粗仿宋" w:cs="Arial"/>
          <w:color w:val="000000"/>
          <w:kern w:val="0"/>
          <w:sz w:val="32"/>
          <w:szCs w:val="32"/>
          <w:lang w:val="en-US" w:eastAsia="zh-CN"/>
        </w:rPr>
        <w:t>8</w:t>
      </w:r>
      <w:r>
        <w:rPr>
          <w:rFonts w:hint="eastAsia" w:ascii="彩虹粗仿宋" w:hAnsi="宋体" w:eastAsia="彩虹粗仿宋" w:cs="Arial"/>
          <w:color w:val="000000"/>
          <w:kern w:val="0"/>
          <w:sz w:val="32"/>
          <w:szCs w:val="32"/>
        </w:rPr>
        <w:t>月</w:t>
      </w:r>
      <w:r>
        <w:rPr>
          <w:rFonts w:hint="eastAsia" w:ascii="彩虹粗仿宋" w:hAnsi="宋体" w:eastAsia="彩虹粗仿宋" w:cs="Arial"/>
          <w:color w:val="000000"/>
          <w:kern w:val="0"/>
          <w:sz w:val="32"/>
          <w:szCs w:val="32"/>
          <w:lang w:val="en-US" w:eastAsia="zh-CN"/>
        </w:rPr>
        <w:t>28</w:t>
      </w:r>
      <w:r>
        <w:rPr>
          <w:rFonts w:hint="eastAsia" w:ascii="彩虹粗仿宋" w:hAnsi="宋体" w:eastAsia="彩虹粗仿宋" w:cs="Arial"/>
          <w:color w:val="000000"/>
          <w:kern w:val="0"/>
          <w:sz w:val="32"/>
          <w:szCs w:val="32"/>
        </w:rPr>
        <w:t>日生效，</w:t>
      </w:r>
      <w:r>
        <w:rPr>
          <w:rFonts w:hint="eastAsia" w:ascii="彩虹粗仿宋" w:hAnsi="宋体" w:eastAsia="彩虹粗仿宋" w:cs="Arial"/>
          <w:color w:val="000000"/>
          <w:kern w:val="0"/>
          <w:sz w:val="32"/>
          <w:szCs w:val="32"/>
          <w:lang w:val="en-US" w:eastAsia="zh-CN"/>
        </w:rPr>
        <w:t>8</w:t>
      </w:r>
      <w:r>
        <w:rPr>
          <w:rFonts w:hint="eastAsia" w:ascii="彩虹粗仿宋" w:hAnsi="宋体" w:eastAsia="彩虹粗仿宋" w:cs="Arial"/>
          <w:color w:val="000000"/>
          <w:kern w:val="0"/>
          <w:sz w:val="32"/>
          <w:szCs w:val="32"/>
        </w:rPr>
        <w:t>月</w:t>
      </w:r>
      <w:r>
        <w:rPr>
          <w:rFonts w:hint="eastAsia" w:ascii="彩虹粗仿宋" w:hAnsi="宋体" w:eastAsia="彩虹粗仿宋" w:cs="Arial"/>
          <w:color w:val="000000"/>
          <w:kern w:val="0"/>
          <w:sz w:val="32"/>
          <w:szCs w:val="32"/>
          <w:lang w:val="en-US" w:eastAsia="zh-CN"/>
        </w:rPr>
        <w:t>28</w:t>
      </w:r>
      <w:r>
        <w:rPr>
          <w:rFonts w:hint="eastAsia" w:ascii="彩虹粗仿宋" w:hAnsi="宋体" w:eastAsia="彩虹粗仿宋" w:cs="Arial"/>
          <w:color w:val="000000"/>
          <w:kern w:val="0"/>
          <w:sz w:val="32"/>
          <w:szCs w:val="32"/>
        </w:rPr>
        <w:t>日的产品收益将于</w:t>
      </w:r>
      <w:r>
        <w:rPr>
          <w:rFonts w:hint="eastAsia" w:ascii="彩虹粗仿宋" w:hAnsi="宋体" w:eastAsia="彩虹粗仿宋" w:cs="Arial"/>
          <w:color w:val="000000"/>
          <w:kern w:val="0"/>
          <w:sz w:val="32"/>
          <w:szCs w:val="32"/>
          <w:lang w:val="en-US" w:eastAsia="zh-CN"/>
        </w:rPr>
        <w:t>9</w:t>
      </w:r>
      <w:r>
        <w:rPr>
          <w:rFonts w:hint="eastAsia" w:ascii="彩虹粗仿宋" w:hAnsi="宋体" w:eastAsia="彩虹粗仿宋" w:cs="Arial"/>
          <w:color w:val="000000"/>
          <w:kern w:val="0"/>
          <w:sz w:val="32"/>
          <w:szCs w:val="32"/>
        </w:rPr>
        <w:t>月</w:t>
      </w:r>
      <w:r>
        <w:rPr>
          <w:rFonts w:hint="eastAsia" w:ascii="彩虹粗仿宋" w:hAnsi="宋体" w:eastAsia="彩虹粗仿宋" w:cs="Arial"/>
          <w:color w:val="000000"/>
          <w:kern w:val="0"/>
          <w:sz w:val="32"/>
          <w:szCs w:val="32"/>
          <w:lang w:val="en-US" w:eastAsia="zh-CN"/>
        </w:rPr>
        <w:t>1</w:t>
      </w:r>
      <w:r>
        <w:rPr>
          <w:rFonts w:hint="eastAsia" w:ascii="彩虹粗仿宋" w:hAnsi="宋体" w:eastAsia="彩虹粗仿宋" w:cs="Arial"/>
          <w:color w:val="000000"/>
          <w:kern w:val="0"/>
          <w:sz w:val="32"/>
          <w:szCs w:val="32"/>
        </w:rPr>
        <w:t>日</w:t>
      </w:r>
      <w:r>
        <w:rPr>
          <w:rFonts w:hint="eastAsia" w:ascii="彩虹粗仿宋" w:hAnsi="宋体" w:eastAsia="彩虹粗仿宋" w:cs="Arial"/>
          <w:color w:val="000000"/>
          <w:kern w:val="0"/>
          <w:sz w:val="32"/>
          <w:szCs w:val="32"/>
          <w:lang w:val="en-US" w:eastAsia="zh-CN"/>
        </w:rPr>
        <w:t>(T+2日）</w:t>
      </w:r>
      <w:r>
        <w:rPr>
          <w:rFonts w:hint="eastAsia" w:ascii="彩虹粗仿宋" w:hAnsi="宋体" w:eastAsia="彩虹粗仿宋" w:cs="Arial"/>
          <w:color w:val="000000"/>
          <w:kern w:val="0"/>
          <w:sz w:val="32"/>
          <w:szCs w:val="32"/>
        </w:rPr>
        <w:t>结转至您的理财账户，调整后的内容详见产品说明书。如您不同意上述调整，可于公告发布之日至202</w:t>
      </w:r>
      <w:r>
        <w:rPr>
          <w:rFonts w:hint="eastAsia" w:ascii="彩虹粗仿宋" w:hAnsi="宋体" w:eastAsia="彩虹粗仿宋" w:cs="Arial"/>
          <w:color w:val="000000"/>
          <w:kern w:val="0"/>
          <w:sz w:val="32"/>
          <w:szCs w:val="32"/>
          <w:lang w:val="en-US" w:eastAsia="zh-CN"/>
        </w:rPr>
        <w:t>6</w:t>
      </w:r>
      <w:r>
        <w:rPr>
          <w:rFonts w:hint="eastAsia" w:ascii="彩虹粗仿宋" w:hAnsi="宋体" w:eastAsia="彩虹粗仿宋" w:cs="Arial"/>
          <w:color w:val="000000"/>
          <w:kern w:val="0"/>
          <w:sz w:val="32"/>
          <w:szCs w:val="32"/>
        </w:rPr>
        <w:t>年</w:t>
      </w:r>
      <w:r>
        <w:rPr>
          <w:rFonts w:hint="eastAsia" w:ascii="彩虹粗仿宋" w:hAnsi="宋体" w:eastAsia="彩虹粗仿宋" w:cs="Arial"/>
          <w:color w:val="000000"/>
          <w:kern w:val="0"/>
          <w:sz w:val="32"/>
          <w:szCs w:val="32"/>
          <w:lang w:val="en-US" w:eastAsia="zh-CN"/>
        </w:rPr>
        <w:t>8</w:t>
      </w:r>
      <w:r>
        <w:rPr>
          <w:rFonts w:hint="eastAsia" w:ascii="彩虹粗仿宋" w:hAnsi="宋体" w:eastAsia="彩虹粗仿宋" w:cs="Arial"/>
          <w:color w:val="000000"/>
          <w:kern w:val="0"/>
          <w:sz w:val="32"/>
          <w:szCs w:val="32"/>
        </w:rPr>
        <w:t>月</w:t>
      </w:r>
      <w:r>
        <w:rPr>
          <w:rFonts w:hint="eastAsia" w:ascii="彩虹粗仿宋" w:hAnsi="宋体" w:eastAsia="彩虹粗仿宋" w:cs="Arial"/>
          <w:color w:val="000000"/>
          <w:kern w:val="0"/>
          <w:sz w:val="32"/>
          <w:szCs w:val="32"/>
          <w:lang w:val="en-US" w:eastAsia="zh-CN"/>
        </w:rPr>
        <w:t>27</w:t>
      </w:r>
      <w:r>
        <w:rPr>
          <w:rFonts w:hint="eastAsia" w:ascii="彩虹粗仿宋" w:hAnsi="宋体" w:eastAsia="彩虹粗仿宋" w:cs="Arial"/>
          <w:color w:val="000000"/>
          <w:kern w:val="0"/>
          <w:sz w:val="32"/>
          <w:szCs w:val="32"/>
        </w:rPr>
        <w:t>日产品交易结束前赎回全部份额。</w:t>
      </w:r>
    </w:p>
    <w:p w14:paraId="1F312820">
      <w:pPr>
        <w:spacing w:line="560" w:lineRule="exact"/>
        <w:ind w:firstLine="640" w:firstLineChars="200"/>
        <w:rPr>
          <w:rFonts w:ascii="彩虹粗仿宋" w:eastAsia="彩虹粗仿宋"/>
          <w:sz w:val="32"/>
          <w:szCs w:val="32"/>
        </w:rPr>
      </w:pPr>
      <w:r>
        <w:rPr>
          <w:rFonts w:hint="eastAsia" w:ascii="彩虹粗仿宋" w:eastAsia="彩虹粗仿宋"/>
          <w:sz w:val="32"/>
          <w:szCs w:val="32"/>
        </w:rPr>
        <w:t>建信理财有限责任公司将本着勤勉尽职的原则持续为您提供专业化理财服务。</w:t>
      </w:r>
    </w:p>
    <w:p w14:paraId="2E8AC6E3">
      <w:pPr>
        <w:widowControl/>
        <w:snapToGrid w:val="0"/>
        <w:spacing w:line="560" w:lineRule="exact"/>
        <w:ind w:firstLine="640" w:firstLineChars="200"/>
        <w:rPr>
          <w:rFonts w:ascii="彩虹粗仿宋" w:eastAsia="彩虹粗仿宋"/>
          <w:sz w:val="32"/>
          <w:szCs w:val="32"/>
        </w:rPr>
      </w:pPr>
      <w:r>
        <w:rPr>
          <w:rFonts w:hint="eastAsia" w:ascii="彩虹粗仿宋" w:eastAsia="彩虹粗仿宋"/>
          <w:sz w:val="32"/>
          <w:szCs w:val="32"/>
        </w:rPr>
        <w:t>特此公告。</w:t>
      </w:r>
    </w:p>
    <w:p w14:paraId="6BC0249F">
      <w:pPr>
        <w:widowControl/>
        <w:snapToGrid w:val="0"/>
        <w:spacing w:line="560" w:lineRule="exact"/>
        <w:ind w:firstLine="640" w:firstLineChars="200"/>
        <w:rPr>
          <w:rFonts w:ascii="彩虹粗仿宋" w:hAnsi="宋体" w:eastAsia="彩虹粗仿宋" w:cs="Arial"/>
          <w:color w:val="000000"/>
          <w:kern w:val="0"/>
          <w:sz w:val="32"/>
          <w:szCs w:val="32"/>
        </w:rPr>
      </w:pPr>
    </w:p>
    <w:p w14:paraId="64F0BFB9">
      <w:pPr>
        <w:widowControl/>
        <w:snapToGrid w:val="0"/>
        <w:spacing w:line="560" w:lineRule="exact"/>
        <w:ind w:firstLine="420"/>
        <w:rPr>
          <w:rFonts w:ascii="彩虹粗仿宋" w:hAnsi="宋体" w:eastAsia="彩虹粗仿宋" w:cs="Arial"/>
          <w:color w:val="000000"/>
          <w:kern w:val="0"/>
          <w:sz w:val="32"/>
          <w:szCs w:val="32"/>
        </w:rPr>
      </w:pPr>
    </w:p>
    <w:p w14:paraId="64AE5877">
      <w:pPr>
        <w:widowControl/>
        <w:snapToGrid w:val="0"/>
        <w:spacing w:line="560" w:lineRule="exact"/>
        <w:ind w:firstLine="420"/>
        <w:jc w:val="right"/>
        <w:rPr>
          <w:rFonts w:ascii="彩虹粗仿宋" w:eastAsia="彩虹粗仿宋"/>
          <w:sz w:val="32"/>
          <w:szCs w:val="32"/>
        </w:rPr>
      </w:pPr>
      <w:r>
        <w:rPr>
          <w:rFonts w:hint="eastAsia" w:ascii="彩虹粗仿宋" w:eastAsia="彩虹粗仿宋"/>
          <w:sz w:val="32"/>
          <w:szCs w:val="32"/>
        </w:rPr>
        <w:t>建信理财有限责任公司</w:t>
      </w:r>
    </w:p>
    <w:p w14:paraId="4AD324D0">
      <w:pPr>
        <w:widowControl/>
        <w:snapToGrid w:val="0"/>
        <w:spacing w:line="560" w:lineRule="exact"/>
        <w:ind w:right="320" w:firstLine="420"/>
        <w:jc w:val="right"/>
        <w:rPr>
          <w:rFonts w:ascii="彩虹粗仿宋" w:hAnsi="宋体" w:eastAsia="彩虹粗仿宋" w:cs="Arial"/>
          <w:color w:val="000000"/>
          <w:kern w:val="0"/>
          <w:sz w:val="32"/>
          <w:szCs w:val="32"/>
        </w:rPr>
      </w:pPr>
      <w:r>
        <w:rPr>
          <w:rFonts w:hint="eastAsia" w:ascii="彩虹粗仿宋" w:hAnsi="宋体" w:eastAsia="彩虹粗仿宋" w:cs="Arial"/>
          <w:color w:val="000000"/>
          <w:kern w:val="0"/>
          <w:sz w:val="32"/>
          <w:szCs w:val="32"/>
        </w:rPr>
        <w:t>202</w:t>
      </w:r>
      <w:r>
        <w:rPr>
          <w:rFonts w:hint="eastAsia" w:ascii="彩虹粗仿宋" w:hAnsi="宋体" w:eastAsia="彩虹粗仿宋" w:cs="Arial"/>
          <w:color w:val="000000"/>
          <w:kern w:val="0"/>
          <w:sz w:val="32"/>
          <w:szCs w:val="32"/>
          <w:lang w:val="en-US" w:eastAsia="zh-CN"/>
        </w:rPr>
        <w:t>6</w:t>
      </w:r>
      <w:r>
        <w:rPr>
          <w:rFonts w:hint="eastAsia" w:ascii="彩虹粗仿宋" w:hAnsi="宋体" w:eastAsia="彩虹粗仿宋" w:cs="Arial"/>
          <w:color w:val="000000"/>
          <w:kern w:val="0"/>
          <w:sz w:val="32"/>
          <w:szCs w:val="32"/>
        </w:rPr>
        <w:t>年</w:t>
      </w:r>
      <w:r>
        <w:rPr>
          <w:rFonts w:hint="eastAsia" w:ascii="彩虹粗仿宋" w:hAnsi="宋体" w:eastAsia="彩虹粗仿宋" w:cs="Arial"/>
          <w:color w:val="000000"/>
          <w:kern w:val="0"/>
          <w:sz w:val="32"/>
          <w:szCs w:val="32"/>
          <w:lang w:val="en-US" w:eastAsia="zh-CN"/>
        </w:rPr>
        <w:t>8</w:t>
      </w:r>
      <w:r>
        <w:rPr>
          <w:rFonts w:hint="eastAsia" w:ascii="彩虹粗仿宋" w:hAnsi="宋体" w:eastAsia="彩虹粗仿宋" w:cs="Arial"/>
          <w:color w:val="000000"/>
          <w:kern w:val="0"/>
          <w:sz w:val="32"/>
          <w:szCs w:val="32"/>
        </w:rPr>
        <w:t>月</w:t>
      </w:r>
      <w:r>
        <w:rPr>
          <w:rFonts w:hint="eastAsia" w:ascii="彩虹粗仿宋" w:hAnsi="宋体" w:eastAsia="彩虹粗仿宋" w:cs="Arial"/>
          <w:color w:val="000000"/>
          <w:kern w:val="0"/>
          <w:sz w:val="32"/>
          <w:szCs w:val="32"/>
          <w:lang w:val="en-US" w:eastAsia="zh-CN"/>
        </w:rPr>
        <w:t>26</w:t>
      </w:r>
      <w:r>
        <w:rPr>
          <w:rFonts w:hint="eastAsia" w:ascii="彩虹粗仿宋" w:hAnsi="宋体" w:eastAsia="彩虹粗仿宋" w:cs="Arial"/>
          <w:color w:val="000000"/>
          <w:kern w:val="0"/>
          <w:sz w:val="32"/>
          <w:szCs w:val="32"/>
        </w:rPr>
        <w:t>日</w:t>
      </w:r>
    </w:p>
    <w:p w14:paraId="38F1CCD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彩虹小标宋">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彩虹粗仿宋">
    <w:panose1 w:val="03000509000000000000"/>
    <w:charset w:val="86"/>
    <w:family w:val="script"/>
    <w:pitch w:val="default"/>
    <w:sig w:usb0="00000001" w:usb1="080E0000" w:usb2="00000000" w:usb3="00000000" w:csb0="00040000" w:csb1="00000000"/>
  </w:font>
  <w:font w:name="彩虹黑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781F5E"/>
    <w:rsid w:val="26DC27B0"/>
    <w:rsid w:val="29CA127D"/>
    <w:rsid w:val="3F52652E"/>
    <w:rsid w:val="6D781F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5</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2026-08-19T07:22:00Z</dcterms:created>
  <dc:creator>谭晨颖</dc:creator>
  <cp:lastModifiedBy>谭晨颖</cp:lastModifiedBy>
  <dcterms:modified xsi:type="dcterms:W3CDTF">2026-08-26T09:01:42Z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9914FF4C79A344178E877DDBE07E1E88_13</vt:lpwstr>
  </property>
</Properties>
</file>