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bookmarkStart w:id="0" w:name="_GoBack"/>
      <w:r>
        <w:rPr>
          <w:rFonts w:hint="eastAsia" w:ascii="彩虹小标宋" w:eastAsia="彩虹小标宋"/>
          <w:sz w:val="40"/>
          <w:szCs w:val="40"/>
        </w:rPr>
        <w:t>关于</w:t>
      </w:r>
      <w:r>
        <w:rPr>
          <w:rFonts w:hint="eastAsia" w:ascii="彩虹小标宋" w:eastAsia="彩虹小标宋"/>
          <w:sz w:val="40"/>
          <w:szCs w:val="40"/>
          <w:lang w:val="en-US" w:eastAsia="zh-CN"/>
        </w:rPr>
        <w:t>调整建信理财嘉鑫（稳利）固收类封闭式产品2026年第337期超额业绩报酬</w:t>
      </w:r>
      <w:r>
        <w:rPr>
          <w:rFonts w:hint="eastAsia" w:ascii="彩虹小标宋" w:eastAsia="彩虹小标宋"/>
          <w:sz w:val="40"/>
          <w:szCs w:val="40"/>
        </w:rPr>
        <w:t>的公告</w:t>
      </w:r>
      <w:r>
        <w:rPr>
          <w:rFonts w:hint="eastAsia" w:ascii="彩虹小标宋" w:eastAsia="彩虹小标宋"/>
          <w:sz w:val="40"/>
          <w:szCs w:val="40"/>
          <w:lang w:val="en-US" w:eastAsia="zh-CN"/>
        </w:rPr>
        <w:t>-JXJXFBGS260801337</w:t>
      </w:r>
    </w:p>
    <w:bookmarkEnd w:id="0"/>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于2026年8月28日（含）起调整建信理财嘉鑫（稳利）固收类封闭式产品2026年第337期超额业绩报酬。</w:t>
      </w:r>
      <w:r>
        <w:rPr>
          <w:rFonts w:hint="eastAsia" w:ascii="彩虹粗仿宋" w:eastAsia="彩虹粗仿宋"/>
          <w:sz w:val="32"/>
          <w:szCs w:val="32"/>
        </w:rPr>
        <w:t>具体</w:t>
      </w:r>
      <w:r>
        <w:rPr>
          <w:rFonts w:hint="eastAsia" w:ascii="彩虹粗仿宋" w:eastAsia="彩虹粗仿宋"/>
          <w:sz w:val="32"/>
          <w:szCs w:val="32"/>
          <w:lang w:val="en-US" w:eastAsia="zh-CN"/>
        </w:rPr>
        <w:t>内容</w:t>
      </w:r>
      <w:r>
        <w:rPr>
          <w:rFonts w:hint="eastAsia" w:ascii="彩虹粗仿宋" w:eastAsia="彩虹粗仿宋"/>
          <w:sz w:val="32"/>
          <w:szCs w:val="32"/>
        </w:rPr>
        <w:t>如下：</w:t>
      </w:r>
    </w:p>
    <w:tbl>
      <w:tblPr>
        <w:tblStyle w:val="9"/>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935"/>
        <w:gridCol w:w="2620"/>
        <w:gridCol w:w="1836"/>
      </w:tblGrid>
      <w:tr w14:paraId="0E5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967"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35" w:type="dxa"/>
            <w:vAlign w:val="center"/>
          </w:tcPr>
          <w:p w14:paraId="298DFD14">
            <w:pPr>
              <w:jc w:val="center"/>
              <w:rPr>
                <w:rFonts w:hint="eastAsia" w:ascii="宋体" w:hAnsi="宋体" w:eastAsia="宋体"/>
                <w:b/>
                <w:szCs w:val="21"/>
              </w:rPr>
            </w:pPr>
            <w:r>
              <w:rPr>
                <w:rFonts w:hint="eastAsia" w:ascii="宋体" w:hAnsi="宋体" w:eastAsia="宋体"/>
                <w:b/>
                <w:szCs w:val="21"/>
                <w:lang w:eastAsia="zh-CN"/>
              </w:rPr>
              <w:t>全国银行业理财信息登记系统编码</w:t>
            </w:r>
          </w:p>
        </w:tc>
        <w:tc>
          <w:tcPr>
            <w:tcW w:w="2620" w:type="dxa"/>
            <w:vAlign w:val="center"/>
          </w:tcPr>
          <w:p w14:paraId="1A61BDF6">
            <w:pPr>
              <w:jc w:val="center"/>
              <w:rPr>
                <w:rFonts w:hint="eastAsia" w:ascii="宋体" w:hAnsi="宋体" w:eastAsia="宋体"/>
                <w:b/>
                <w:szCs w:val="21"/>
                <w:lang w:val="en-US" w:eastAsia="zh-CN"/>
              </w:rPr>
            </w:pPr>
            <w:r>
              <w:rPr>
                <w:rFonts w:hint="eastAsia" w:ascii="宋体" w:hAnsi="宋体" w:eastAsia="宋体"/>
                <w:b/>
                <w:szCs w:val="21"/>
                <w:lang w:val="en-US" w:eastAsia="zh-CN"/>
              </w:rPr>
              <w:t>超额业绩报酬（调整前）</w:t>
            </w:r>
          </w:p>
        </w:tc>
        <w:tc>
          <w:tcPr>
            <w:tcW w:w="1836"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lang w:val="en-US" w:eastAsia="zh-CN"/>
              </w:rPr>
              <w:t>超额业绩报酬（</w:t>
            </w:r>
            <w:r>
              <w:rPr>
                <w:rFonts w:hint="default" w:ascii="宋体" w:hAnsi="宋体" w:eastAsia="宋体"/>
                <w:b/>
                <w:szCs w:val="21"/>
                <w:lang w:val="en-US" w:eastAsia="zh-CN"/>
              </w:rPr>
              <w:t>调整</w:t>
            </w:r>
            <w:r>
              <w:rPr>
                <w:rFonts w:hint="eastAsia" w:ascii="宋体" w:hAnsi="宋体" w:eastAsia="宋体"/>
                <w:b/>
                <w:szCs w:val="21"/>
                <w:lang w:val="en-US" w:eastAsia="zh-CN"/>
              </w:rPr>
              <w:t>后）</w:t>
            </w:r>
          </w:p>
        </w:tc>
      </w:tr>
      <w:tr w14:paraId="51D4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1967" w:type="dxa"/>
            <w:vAlign w:val="center"/>
          </w:tcPr>
          <w:p w14:paraId="70A340B8">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建信理财嘉鑫（稳利）固收类封闭式产品2026年第337期</w:t>
            </w:r>
          </w:p>
        </w:tc>
        <w:tc>
          <w:tcPr>
            <w:tcW w:w="1935" w:type="dxa"/>
            <w:vAlign w:val="center"/>
          </w:tcPr>
          <w:p w14:paraId="63E7C24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Z7000726002256</w:t>
            </w:r>
          </w:p>
        </w:tc>
        <w:tc>
          <w:tcPr>
            <w:tcW w:w="2620" w:type="dxa"/>
            <w:vAlign w:val="center"/>
          </w:tcPr>
          <w:p w14:paraId="605D2ADB">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当产品在存续期内的累计年化收益率高于1.95%（含）时，产品管理人将收取超出1.95%以上部分收益的50%作为超额业绩报酬。</w:t>
            </w:r>
          </w:p>
        </w:tc>
        <w:tc>
          <w:tcPr>
            <w:tcW w:w="1836" w:type="dxa"/>
            <w:vAlign w:val="center"/>
          </w:tcPr>
          <w:p w14:paraId="448B9C2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不收取超额业绩报酬</w:t>
            </w:r>
          </w:p>
        </w:tc>
      </w:tr>
    </w:tbl>
    <w:p w14:paraId="6A1AE795">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26</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2BE235E"/>
    <w:rsid w:val="0987307F"/>
    <w:rsid w:val="098F08D1"/>
    <w:rsid w:val="0D2B4F84"/>
    <w:rsid w:val="11526222"/>
    <w:rsid w:val="11AA0B06"/>
    <w:rsid w:val="126D0AE3"/>
    <w:rsid w:val="12ED789B"/>
    <w:rsid w:val="1C9902E1"/>
    <w:rsid w:val="1E011F85"/>
    <w:rsid w:val="1EFF400E"/>
    <w:rsid w:val="21200924"/>
    <w:rsid w:val="24072EE7"/>
    <w:rsid w:val="285E03C4"/>
    <w:rsid w:val="28F82E25"/>
    <w:rsid w:val="2AC75B35"/>
    <w:rsid w:val="2E920219"/>
    <w:rsid w:val="2F1305BD"/>
    <w:rsid w:val="302046BC"/>
    <w:rsid w:val="30915601"/>
    <w:rsid w:val="34FD0C24"/>
    <w:rsid w:val="350C32A2"/>
    <w:rsid w:val="357A11D7"/>
    <w:rsid w:val="38020845"/>
    <w:rsid w:val="390B3E87"/>
    <w:rsid w:val="390C5502"/>
    <w:rsid w:val="391110CE"/>
    <w:rsid w:val="39C9477F"/>
    <w:rsid w:val="3B480E17"/>
    <w:rsid w:val="3FE33E39"/>
    <w:rsid w:val="45096549"/>
    <w:rsid w:val="482B0E1F"/>
    <w:rsid w:val="4A1006BB"/>
    <w:rsid w:val="4C4A4044"/>
    <w:rsid w:val="4C8D06A9"/>
    <w:rsid w:val="4CCE28CD"/>
    <w:rsid w:val="4D7615AA"/>
    <w:rsid w:val="4E581AE6"/>
    <w:rsid w:val="4F595D1F"/>
    <w:rsid w:val="56007508"/>
    <w:rsid w:val="5A5C063B"/>
    <w:rsid w:val="5F8E026C"/>
    <w:rsid w:val="60240AF3"/>
    <w:rsid w:val="60C67A98"/>
    <w:rsid w:val="618D119C"/>
    <w:rsid w:val="63B046C4"/>
    <w:rsid w:val="64742086"/>
    <w:rsid w:val="66414EE1"/>
    <w:rsid w:val="67291A0A"/>
    <w:rsid w:val="67AA4915"/>
    <w:rsid w:val="6AF96F73"/>
    <w:rsid w:val="6BD345B7"/>
    <w:rsid w:val="6DD800E0"/>
    <w:rsid w:val="6E1F0B8D"/>
    <w:rsid w:val="71716B9F"/>
    <w:rsid w:val="7181643D"/>
    <w:rsid w:val="73326FA2"/>
    <w:rsid w:val="77B6385C"/>
    <w:rsid w:val="78037750"/>
    <w:rsid w:val="78666EC3"/>
    <w:rsid w:val="788E2975"/>
    <w:rsid w:val="7D29533D"/>
    <w:rsid w:val="7E023266"/>
    <w:rsid w:val="7E545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0</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2026-08-26T06:01:31Z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5EC26CF65B634E41BE4FB764CD21162D_13</vt:lpwstr>
  </property>
</Properties>
</file>