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96A569">
      <w:pPr>
        <w:jc w:val="center"/>
        <w:rPr>
          <w:rFonts w:ascii="彩虹小标宋" w:eastAsia="彩虹小标宋"/>
          <w:sz w:val="44"/>
          <w:szCs w:val="44"/>
        </w:rPr>
      </w:pPr>
      <w:r>
        <w:rPr>
          <w:rFonts w:hint="eastAsia" w:ascii="彩虹小标宋" w:eastAsia="彩虹小标宋"/>
          <w:sz w:val="44"/>
          <w:szCs w:val="44"/>
        </w:rPr>
        <w:t>关于调整建信理财嘉鑫（稳利）固收类按日开放式产品第260期</w:t>
      </w:r>
      <w:r>
        <w:rPr>
          <w:rFonts w:hint="eastAsia" w:ascii="彩虹小标宋" w:eastAsia="彩虹小标宋"/>
          <w:sz w:val="44"/>
          <w:szCs w:val="44"/>
          <w:lang w:val="en-US" w:eastAsia="zh-CN"/>
        </w:rPr>
        <w:t>产品申购开放日规则</w:t>
      </w:r>
      <w:r>
        <w:rPr>
          <w:rFonts w:hint="eastAsia" w:ascii="彩虹小标宋" w:eastAsia="彩虹小标宋"/>
          <w:sz w:val="44"/>
          <w:szCs w:val="44"/>
        </w:rPr>
        <w:t>的公告</w:t>
      </w:r>
    </w:p>
    <w:p w14:paraId="090D3271">
      <w:pPr>
        <w:spacing w:line="560" w:lineRule="exact"/>
        <w:rPr>
          <w:rFonts w:ascii="彩虹粗仿宋" w:eastAsia="彩虹粗仿宋"/>
          <w:sz w:val="32"/>
          <w:szCs w:val="32"/>
        </w:rPr>
      </w:pPr>
    </w:p>
    <w:p w14:paraId="41C41FE4">
      <w:pPr>
        <w:spacing w:line="560" w:lineRule="exact"/>
        <w:rPr>
          <w:rFonts w:ascii="彩虹粗仿宋" w:eastAsia="彩虹粗仿宋"/>
          <w:sz w:val="32"/>
          <w:szCs w:val="32"/>
        </w:rPr>
      </w:pPr>
      <w:r>
        <w:rPr>
          <w:rFonts w:hint="eastAsia" w:ascii="彩虹粗仿宋" w:eastAsia="彩虹粗仿宋"/>
          <w:sz w:val="32"/>
          <w:szCs w:val="32"/>
        </w:rPr>
        <w:t>尊敬的投资者：</w:t>
      </w:r>
    </w:p>
    <w:p w14:paraId="496CC94E">
      <w:pPr>
        <w:spacing w:line="560" w:lineRule="exact"/>
        <w:ind w:firstLine="640" w:firstLineChars="200"/>
        <w:rPr>
          <w:rFonts w:hint="default" w:ascii="彩虹粗仿宋" w:eastAsia="彩虹粗仿宋"/>
          <w:sz w:val="32"/>
          <w:szCs w:val="32"/>
          <w:lang w:val="en-US" w:eastAsia="zh-CN"/>
        </w:rPr>
      </w:pPr>
      <w:r>
        <w:rPr>
          <w:rFonts w:hint="eastAsia" w:ascii="彩虹粗仿宋" w:eastAsia="彩虹粗仿宋"/>
          <w:sz w:val="32"/>
          <w:szCs w:val="32"/>
        </w:rPr>
        <w:t>根据产品投资运作需要，建信理财拟</w:t>
      </w:r>
      <w:r>
        <w:rPr>
          <w:rFonts w:hint="eastAsia" w:ascii="彩虹粗仿宋" w:eastAsia="彩虹粗仿宋"/>
          <w:sz w:val="32"/>
          <w:szCs w:val="32"/>
          <w:lang w:val="en-US" w:eastAsia="zh-CN"/>
        </w:rPr>
        <w:t>于2026年9月1日（含）起</w:t>
      </w:r>
      <w:r>
        <w:rPr>
          <w:rFonts w:hint="eastAsia" w:ascii="彩虹粗仿宋" w:eastAsia="彩虹粗仿宋"/>
          <w:sz w:val="32"/>
          <w:szCs w:val="32"/>
        </w:rPr>
        <w:t>调整建信理财嘉鑫（稳利）固收类按日开放式产品第260期</w:t>
      </w:r>
      <w:r>
        <w:rPr>
          <w:rFonts w:hint="eastAsia" w:ascii="彩虹粗仿宋" w:eastAsia="彩虹粗仿宋"/>
          <w:sz w:val="32"/>
          <w:szCs w:val="32"/>
          <w:lang w:val="en-US" w:eastAsia="zh-CN"/>
        </w:rPr>
        <w:t>的申购开放日规则，具</w:t>
      </w:r>
      <w:bookmarkStart w:id="0" w:name="_GoBack"/>
      <w:bookmarkEnd w:id="0"/>
      <w:r>
        <w:rPr>
          <w:rFonts w:hint="eastAsia" w:ascii="彩虹粗仿宋" w:eastAsia="彩虹粗仿宋"/>
          <w:sz w:val="32"/>
          <w:szCs w:val="32"/>
          <w:lang w:val="en-US" w:eastAsia="zh-CN"/>
        </w:rPr>
        <w:t>体如下：</w:t>
      </w:r>
    </w:p>
    <w:tbl>
      <w:tblPr>
        <w:tblStyle w:val="8"/>
        <w:tblW w:w="82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25"/>
        <w:gridCol w:w="1688"/>
        <w:gridCol w:w="2547"/>
        <w:gridCol w:w="2530"/>
      </w:tblGrid>
      <w:tr w14:paraId="4E402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04" w:hRule="atLeast"/>
          <w:jc w:val="center"/>
        </w:trPr>
        <w:tc>
          <w:tcPr>
            <w:tcW w:w="1525" w:type="dxa"/>
            <w:tcBorders>
              <w:bottom w:val="single" w:color="auto" w:sz="4" w:space="0"/>
            </w:tcBorders>
            <w:vAlign w:val="center"/>
          </w:tcPr>
          <w:p w14:paraId="05B96B47">
            <w:pPr>
              <w:jc w:val="center"/>
              <w:rPr>
                <w:rFonts w:ascii="宋体" w:hAnsi="宋体" w:eastAsia="宋体"/>
                <w:b/>
                <w:szCs w:val="21"/>
              </w:rPr>
            </w:pPr>
            <w:r>
              <w:rPr>
                <w:rFonts w:hint="eastAsia" w:ascii="宋体" w:hAnsi="宋体" w:eastAsia="宋体"/>
                <w:b/>
                <w:szCs w:val="21"/>
              </w:rPr>
              <w:t>产品名称</w:t>
            </w:r>
          </w:p>
        </w:tc>
        <w:tc>
          <w:tcPr>
            <w:tcW w:w="1688" w:type="dxa"/>
            <w:tcBorders>
              <w:bottom w:val="single" w:color="auto" w:sz="4" w:space="0"/>
            </w:tcBorders>
            <w:vAlign w:val="center"/>
          </w:tcPr>
          <w:p w14:paraId="58B187BD">
            <w:pPr>
              <w:jc w:val="center"/>
              <w:rPr>
                <w:rFonts w:hint="eastAsia" w:ascii="宋体" w:hAnsi="宋体" w:eastAsia="宋体"/>
                <w:b/>
                <w:szCs w:val="21"/>
              </w:rPr>
            </w:pPr>
            <w:r>
              <w:rPr>
                <w:rFonts w:hint="eastAsia" w:ascii="宋体" w:hAnsi="宋体" w:eastAsia="宋体"/>
                <w:b/>
                <w:szCs w:val="21"/>
                <w:lang w:eastAsia="zh-CN"/>
              </w:rPr>
              <w:t>全国银行业理财信息登记系统编码</w:t>
            </w:r>
          </w:p>
        </w:tc>
        <w:tc>
          <w:tcPr>
            <w:tcW w:w="2547" w:type="dxa"/>
            <w:tcBorders>
              <w:bottom w:val="single" w:color="auto" w:sz="4" w:space="0"/>
            </w:tcBorders>
            <w:vAlign w:val="center"/>
          </w:tcPr>
          <w:p w14:paraId="60A242D8">
            <w:pPr>
              <w:jc w:val="center"/>
              <w:rPr>
                <w:rFonts w:hint="eastAsia" w:ascii="宋体" w:hAnsi="宋体" w:eastAsia="宋体"/>
                <w:b/>
                <w:szCs w:val="21"/>
                <w:lang w:eastAsia="zh-CN"/>
              </w:rPr>
            </w:pPr>
            <w:r>
              <w:rPr>
                <w:rFonts w:hint="eastAsia" w:ascii="宋体" w:hAnsi="宋体" w:eastAsia="宋体"/>
                <w:b/>
                <w:szCs w:val="21"/>
              </w:rPr>
              <w:t>调整</w:t>
            </w:r>
            <w:r>
              <w:rPr>
                <w:rFonts w:hint="eastAsia" w:ascii="宋体" w:hAnsi="宋体" w:eastAsia="宋体"/>
                <w:b/>
                <w:szCs w:val="21"/>
                <w:lang w:val="en-US" w:eastAsia="zh-CN"/>
              </w:rPr>
              <w:t>前</w:t>
            </w:r>
          </w:p>
        </w:tc>
        <w:tc>
          <w:tcPr>
            <w:tcW w:w="2530" w:type="dxa"/>
            <w:tcBorders>
              <w:bottom w:val="single" w:color="auto" w:sz="4" w:space="0"/>
            </w:tcBorders>
            <w:vAlign w:val="center"/>
          </w:tcPr>
          <w:p w14:paraId="23583EEE">
            <w:pPr>
              <w:jc w:val="center"/>
              <w:rPr>
                <w:rFonts w:hint="eastAsia" w:ascii="宋体" w:hAnsi="宋体" w:eastAsia="宋体"/>
                <w:b/>
                <w:szCs w:val="21"/>
              </w:rPr>
            </w:pPr>
            <w:r>
              <w:rPr>
                <w:rFonts w:hint="eastAsia" w:ascii="宋体" w:hAnsi="宋体" w:eastAsia="宋体"/>
                <w:b/>
                <w:szCs w:val="21"/>
              </w:rPr>
              <w:t>调整</w:t>
            </w:r>
            <w:r>
              <w:rPr>
                <w:rFonts w:hint="eastAsia" w:ascii="宋体" w:hAnsi="宋体" w:eastAsia="宋体"/>
                <w:b/>
                <w:szCs w:val="21"/>
                <w:lang w:val="en-US" w:eastAsia="zh-CN"/>
              </w:rPr>
              <w:t>后</w:t>
            </w:r>
          </w:p>
        </w:tc>
      </w:tr>
      <w:tr w14:paraId="18287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0" w:hRule="atLeast"/>
          <w:jc w:val="center"/>
        </w:trPr>
        <w:tc>
          <w:tcPr>
            <w:tcW w:w="1525" w:type="dxa"/>
            <w:tcBorders>
              <w:top w:val="single" w:color="auto" w:sz="4" w:space="0"/>
              <w:left w:val="single" w:color="auto" w:sz="4" w:space="0"/>
              <w:bottom w:val="single" w:color="auto" w:sz="4" w:space="0"/>
            </w:tcBorders>
            <w:vAlign w:val="center"/>
          </w:tcPr>
          <w:p w14:paraId="71EBD554">
            <w:pPr>
              <w:jc w:val="center"/>
              <w:rPr>
                <w:rFonts w:ascii="宋体" w:hAnsi="宋体" w:eastAsia="宋体" w:cs="宋体"/>
                <w:szCs w:val="21"/>
              </w:rPr>
            </w:pPr>
            <w:r>
              <w:rPr>
                <w:rFonts w:hint="eastAsia" w:ascii="宋体" w:hAnsi="宋体" w:eastAsia="宋体" w:cs="宋体"/>
                <w:szCs w:val="21"/>
              </w:rPr>
              <w:t>建信理财嘉鑫（稳利）固收类按日开放式产品第260期</w:t>
            </w:r>
          </w:p>
        </w:tc>
        <w:tc>
          <w:tcPr>
            <w:tcW w:w="1688" w:type="dxa"/>
            <w:tcBorders>
              <w:top w:val="single" w:color="auto" w:sz="4" w:space="0"/>
              <w:bottom w:val="single" w:color="auto" w:sz="4" w:space="0"/>
              <w:right w:val="single" w:color="auto" w:sz="4" w:space="0"/>
            </w:tcBorders>
            <w:vAlign w:val="center"/>
          </w:tcPr>
          <w:p w14:paraId="0D97D701">
            <w:pPr>
              <w:jc w:val="both"/>
              <w:rPr>
                <w:rFonts w:hint="eastAsia" w:ascii="宋体" w:hAnsi="宋体" w:eastAsia="宋体" w:cs="宋体"/>
                <w:szCs w:val="21"/>
              </w:rPr>
            </w:pPr>
            <w:r>
              <w:rPr>
                <w:rFonts w:hint="eastAsia" w:ascii="宋体" w:hAnsi="宋体" w:eastAsia="宋体" w:cs="宋体"/>
                <w:szCs w:val="21"/>
              </w:rPr>
              <w:t>Z7000726002016</w:t>
            </w:r>
          </w:p>
        </w:tc>
        <w:tc>
          <w:tcPr>
            <w:tcW w:w="2547" w:type="dxa"/>
            <w:tcBorders>
              <w:top w:val="single" w:color="auto" w:sz="4" w:space="0"/>
              <w:left w:val="single" w:color="auto" w:sz="4" w:space="0"/>
              <w:bottom w:val="single" w:color="auto" w:sz="4" w:space="0"/>
              <w:right w:val="single" w:color="auto" w:sz="4" w:space="0"/>
            </w:tcBorders>
            <w:vAlign w:val="center"/>
          </w:tcPr>
          <w:p w14:paraId="282AD546">
            <w:pPr>
              <w:widowControl/>
              <w:jc w:val="center"/>
              <w:rPr>
                <w:rFonts w:hint="eastAsia" w:ascii="宋体" w:hAnsi="宋体" w:eastAsia="宋体" w:cs="宋体"/>
                <w:szCs w:val="21"/>
              </w:rPr>
            </w:pPr>
            <w:r>
              <w:rPr>
                <w:rFonts w:hint="eastAsia" w:asciiTheme="minorEastAsia" w:hAnsiTheme="minorEastAsia" w:eastAsiaTheme="minorEastAsia" w:cstheme="minorEastAsia"/>
                <w:color w:val="000000"/>
                <w:kern w:val="0"/>
                <w:sz w:val="20"/>
                <w:szCs w:val="20"/>
                <w:highlight w:val="none"/>
                <w:lang w:val="en-US" w:eastAsia="zh-CN" w:bidi="ar-SA"/>
              </w:rPr>
              <w:t>产品成立日及之后的每个交易日为产品申购开放日</w:t>
            </w:r>
          </w:p>
        </w:tc>
        <w:tc>
          <w:tcPr>
            <w:tcW w:w="2530" w:type="dxa"/>
            <w:tcBorders>
              <w:top w:val="single" w:color="auto" w:sz="4" w:space="0"/>
              <w:left w:val="single" w:color="auto" w:sz="4" w:space="0"/>
              <w:bottom w:val="single" w:color="auto" w:sz="4" w:space="0"/>
              <w:right w:val="single" w:color="auto" w:sz="4" w:space="0"/>
            </w:tcBorders>
            <w:shd w:val="clear" w:color="auto" w:fill="auto"/>
            <w:vAlign w:val="center"/>
          </w:tcPr>
          <w:p w14:paraId="6A7247A5">
            <w:pPr>
              <w:widowControl/>
              <w:jc w:val="center"/>
              <w:rPr>
                <w:rFonts w:hint="eastAsia" w:ascii="宋体" w:hAnsi="宋体" w:eastAsia="宋体" w:cs="宋体"/>
                <w:szCs w:val="21"/>
                <w:lang w:val="en-US" w:eastAsia="zh-CN"/>
              </w:rPr>
            </w:pPr>
            <w:r>
              <w:rPr>
                <w:rFonts w:hint="eastAsia" w:asciiTheme="minorEastAsia" w:hAnsiTheme="minorEastAsia" w:cstheme="minorEastAsia"/>
                <w:color w:val="000000"/>
                <w:kern w:val="0"/>
                <w:sz w:val="20"/>
                <w:szCs w:val="20"/>
                <w:highlight w:val="none"/>
                <w:lang w:val="en-US" w:eastAsia="zh-CN"/>
              </w:rPr>
              <w:t>产品成立日后的每个交易日为产品申购开放日</w:t>
            </w:r>
          </w:p>
        </w:tc>
      </w:tr>
    </w:tbl>
    <w:p w14:paraId="1310E2FD">
      <w:pPr>
        <w:spacing w:line="560" w:lineRule="exact"/>
        <w:ind w:firstLine="640" w:firstLineChars="200"/>
        <w:rPr>
          <w:rFonts w:hint="eastAsia" w:ascii="彩虹粗仿宋" w:eastAsia="彩虹粗仿宋"/>
          <w:sz w:val="32"/>
          <w:szCs w:val="32"/>
        </w:rPr>
      </w:pPr>
      <w:r>
        <w:rPr>
          <w:rFonts w:hint="eastAsia" w:ascii="彩虹粗仿宋" w:eastAsia="彩虹粗仿宋"/>
          <w:sz w:val="32"/>
          <w:szCs w:val="32"/>
        </w:rPr>
        <w:t>本公告未提及事宜，按原产品说明书和风险揭示书的约定执行。</w:t>
      </w:r>
    </w:p>
    <w:p w14:paraId="0F572DF1">
      <w:pPr>
        <w:spacing w:line="560" w:lineRule="exact"/>
        <w:ind w:firstLine="640" w:firstLineChars="200"/>
        <w:rPr>
          <w:rFonts w:hint="eastAsia" w:ascii="彩虹粗仿宋" w:eastAsia="彩虹粗仿宋"/>
          <w:sz w:val="32"/>
          <w:szCs w:val="32"/>
        </w:rPr>
      </w:pPr>
      <w:r>
        <w:rPr>
          <w:rFonts w:hint="eastAsia" w:ascii="彩虹粗仿宋" w:eastAsia="彩虹粗仿宋"/>
          <w:sz w:val="32"/>
          <w:szCs w:val="32"/>
        </w:rPr>
        <w:t>建信理财有限责任公司将本着勤勉尽职的原则持续为您提供专业化理财服务。</w:t>
      </w:r>
    </w:p>
    <w:p w14:paraId="70E83428">
      <w:pPr>
        <w:spacing w:line="560" w:lineRule="exact"/>
        <w:ind w:firstLine="640" w:firstLineChars="200"/>
        <w:rPr>
          <w:rFonts w:hint="eastAsia" w:ascii="彩虹粗仿宋" w:eastAsia="彩虹粗仿宋"/>
          <w:sz w:val="32"/>
          <w:szCs w:val="32"/>
        </w:rPr>
      </w:pPr>
      <w:r>
        <w:rPr>
          <w:rFonts w:hint="eastAsia" w:ascii="彩虹粗仿宋" w:eastAsia="彩虹粗仿宋"/>
          <w:sz w:val="32"/>
          <w:szCs w:val="32"/>
        </w:rPr>
        <w:t>特此公告。</w:t>
      </w:r>
    </w:p>
    <w:p w14:paraId="65A365CF">
      <w:pPr>
        <w:spacing w:line="560" w:lineRule="exact"/>
        <w:ind w:firstLine="640" w:firstLineChars="200"/>
        <w:rPr>
          <w:rFonts w:ascii="彩虹粗仿宋" w:eastAsia="彩虹粗仿宋"/>
          <w:sz w:val="32"/>
          <w:szCs w:val="32"/>
        </w:rPr>
      </w:pPr>
    </w:p>
    <w:p w14:paraId="079C2345">
      <w:pPr>
        <w:spacing w:line="560" w:lineRule="exact"/>
        <w:ind w:firstLine="640" w:firstLineChars="200"/>
        <w:rPr>
          <w:rFonts w:ascii="彩虹粗仿宋" w:eastAsia="彩虹粗仿宋"/>
          <w:sz w:val="32"/>
          <w:szCs w:val="32"/>
        </w:rPr>
      </w:pPr>
    </w:p>
    <w:p w14:paraId="20048943">
      <w:pPr>
        <w:spacing w:line="560" w:lineRule="exact"/>
        <w:ind w:firstLine="640" w:firstLineChars="200"/>
        <w:rPr>
          <w:rFonts w:ascii="彩虹粗仿宋" w:eastAsia="彩虹粗仿宋"/>
          <w:sz w:val="32"/>
          <w:szCs w:val="32"/>
        </w:rPr>
      </w:pPr>
      <w:r>
        <w:rPr>
          <w:rFonts w:hint="eastAsia" w:ascii="彩虹粗仿宋" w:eastAsia="彩虹粗仿宋"/>
          <w:sz w:val="32"/>
          <w:szCs w:val="32"/>
        </w:rPr>
        <w:t xml:space="preserve">  </w:t>
      </w:r>
      <w:r>
        <w:rPr>
          <w:rFonts w:ascii="彩虹粗仿宋" w:eastAsia="彩虹粗仿宋"/>
          <w:sz w:val="32"/>
          <w:szCs w:val="32"/>
        </w:rPr>
        <w:t xml:space="preserve">                        </w:t>
      </w:r>
      <w:r>
        <w:rPr>
          <w:rFonts w:hint="eastAsia" w:ascii="彩虹粗仿宋" w:eastAsia="彩虹粗仿宋"/>
          <w:sz w:val="32"/>
          <w:szCs w:val="32"/>
        </w:rPr>
        <w:t xml:space="preserve"> 建信理财有限责任公司</w:t>
      </w:r>
    </w:p>
    <w:p w14:paraId="2645096A">
      <w:pPr>
        <w:spacing w:line="560" w:lineRule="exact"/>
        <w:ind w:firstLine="5440" w:firstLineChars="1700"/>
        <w:rPr>
          <w:rFonts w:ascii="彩虹粗仿宋" w:eastAsia="彩虹粗仿宋"/>
          <w:sz w:val="32"/>
          <w:szCs w:val="32"/>
        </w:rPr>
      </w:pPr>
      <w:r>
        <w:rPr>
          <w:rFonts w:hint="eastAsia" w:ascii="彩虹粗仿宋" w:eastAsia="彩虹粗仿宋"/>
          <w:sz w:val="32"/>
          <w:szCs w:val="32"/>
        </w:rPr>
        <w:t>202</w:t>
      </w:r>
      <w:r>
        <w:rPr>
          <w:rFonts w:hint="eastAsia" w:ascii="彩虹粗仿宋" w:eastAsia="彩虹粗仿宋"/>
          <w:sz w:val="32"/>
          <w:szCs w:val="32"/>
          <w:lang w:val="en-US" w:eastAsia="zh-CN"/>
        </w:rPr>
        <w:t>6</w:t>
      </w:r>
      <w:r>
        <w:rPr>
          <w:rFonts w:hint="eastAsia" w:ascii="彩虹粗仿宋" w:eastAsia="彩虹粗仿宋"/>
          <w:sz w:val="32"/>
          <w:szCs w:val="32"/>
        </w:rPr>
        <w:t>年</w:t>
      </w:r>
      <w:r>
        <w:rPr>
          <w:rFonts w:hint="eastAsia" w:ascii="彩虹粗仿宋" w:eastAsia="彩虹粗仿宋"/>
          <w:sz w:val="32"/>
          <w:szCs w:val="32"/>
          <w:lang w:val="en-US" w:eastAsia="zh-CN"/>
        </w:rPr>
        <w:t>8</w:t>
      </w:r>
      <w:r>
        <w:rPr>
          <w:rFonts w:hint="eastAsia" w:ascii="彩虹粗仿宋" w:eastAsia="彩虹粗仿宋"/>
          <w:sz w:val="32"/>
          <w:szCs w:val="32"/>
        </w:rPr>
        <w:t>月</w:t>
      </w:r>
      <w:r>
        <w:rPr>
          <w:rFonts w:hint="eastAsia" w:ascii="彩虹粗仿宋" w:eastAsia="彩虹粗仿宋"/>
          <w:sz w:val="32"/>
          <w:szCs w:val="32"/>
          <w:lang w:val="en-US" w:eastAsia="zh-CN"/>
        </w:rPr>
        <w:t>28</w:t>
      </w:r>
      <w:r>
        <w:rPr>
          <w:rFonts w:hint="eastAsia" w:ascii="彩虹粗仿宋" w:eastAsia="彩虹粗仿宋"/>
          <w:sz w:val="32"/>
          <w:szCs w:val="32"/>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彩虹小标宋">
    <w:panose1 w:val="03000509000000000000"/>
    <w:charset w:val="86"/>
    <w:family w:val="script"/>
    <w:pitch w:val="default"/>
    <w:sig w:usb0="00000001" w:usb1="080E0000" w:usb2="00000000" w:usb3="00000000" w:csb0="00040000" w:csb1="00000000"/>
  </w:font>
  <w:font w:name="彩虹粗仿宋">
    <w:panose1 w:val="03000509000000000000"/>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28A6"/>
    <w:rsid w:val="000241C8"/>
    <w:rsid w:val="0005242D"/>
    <w:rsid w:val="00062C74"/>
    <w:rsid w:val="00066939"/>
    <w:rsid w:val="001428A6"/>
    <w:rsid w:val="00185B11"/>
    <w:rsid w:val="0019582C"/>
    <w:rsid w:val="001C381B"/>
    <w:rsid w:val="001C3A7B"/>
    <w:rsid w:val="001E48B8"/>
    <w:rsid w:val="001F3AE1"/>
    <w:rsid w:val="00205C8A"/>
    <w:rsid w:val="00206F79"/>
    <w:rsid w:val="00214562"/>
    <w:rsid w:val="002532EE"/>
    <w:rsid w:val="00272D68"/>
    <w:rsid w:val="002A0A2D"/>
    <w:rsid w:val="002D3336"/>
    <w:rsid w:val="002E3ECE"/>
    <w:rsid w:val="002F2DAA"/>
    <w:rsid w:val="003171F2"/>
    <w:rsid w:val="00317C41"/>
    <w:rsid w:val="00326FE7"/>
    <w:rsid w:val="003357F0"/>
    <w:rsid w:val="003C5294"/>
    <w:rsid w:val="003D7CFA"/>
    <w:rsid w:val="004964F0"/>
    <w:rsid w:val="004B40CC"/>
    <w:rsid w:val="004C0C5D"/>
    <w:rsid w:val="004F0EE2"/>
    <w:rsid w:val="00505B5C"/>
    <w:rsid w:val="005158E6"/>
    <w:rsid w:val="00586B28"/>
    <w:rsid w:val="005A0F9C"/>
    <w:rsid w:val="005F5AE8"/>
    <w:rsid w:val="0064427A"/>
    <w:rsid w:val="006548A0"/>
    <w:rsid w:val="00654A55"/>
    <w:rsid w:val="0066655D"/>
    <w:rsid w:val="006674CF"/>
    <w:rsid w:val="0067161F"/>
    <w:rsid w:val="0068278D"/>
    <w:rsid w:val="006912E0"/>
    <w:rsid w:val="006A63AD"/>
    <w:rsid w:val="006F518C"/>
    <w:rsid w:val="007404F3"/>
    <w:rsid w:val="00760000"/>
    <w:rsid w:val="0076079D"/>
    <w:rsid w:val="00780F7C"/>
    <w:rsid w:val="00792813"/>
    <w:rsid w:val="007C0139"/>
    <w:rsid w:val="007C1916"/>
    <w:rsid w:val="007C33BC"/>
    <w:rsid w:val="007C3955"/>
    <w:rsid w:val="007F3A39"/>
    <w:rsid w:val="00811669"/>
    <w:rsid w:val="008852F8"/>
    <w:rsid w:val="008B2407"/>
    <w:rsid w:val="008C5B63"/>
    <w:rsid w:val="008C5E52"/>
    <w:rsid w:val="008F7202"/>
    <w:rsid w:val="00905D50"/>
    <w:rsid w:val="009101AB"/>
    <w:rsid w:val="009206C0"/>
    <w:rsid w:val="009704A5"/>
    <w:rsid w:val="009712AB"/>
    <w:rsid w:val="009B037B"/>
    <w:rsid w:val="00A27E25"/>
    <w:rsid w:val="00A412B1"/>
    <w:rsid w:val="00A60679"/>
    <w:rsid w:val="00AA3B53"/>
    <w:rsid w:val="00B8546A"/>
    <w:rsid w:val="00B9464E"/>
    <w:rsid w:val="00BA47A7"/>
    <w:rsid w:val="00BD576B"/>
    <w:rsid w:val="00C034CF"/>
    <w:rsid w:val="00C21A9A"/>
    <w:rsid w:val="00C406D4"/>
    <w:rsid w:val="00C504AE"/>
    <w:rsid w:val="00CB2567"/>
    <w:rsid w:val="00CE5F95"/>
    <w:rsid w:val="00D15B3B"/>
    <w:rsid w:val="00D74827"/>
    <w:rsid w:val="00D806D9"/>
    <w:rsid w:val="00DB6005"/>
    <w:rsid w:val="00DD228E"/>
    <w:rsid w:val="00E10519"/>
    <w:rsid w:val="00E33E2A"/>
    <w:rsid w:val="00E64DEE"/>
    <w:rsid w:val="00E846D8"/>
    <w:rsid w:val="00EA6AD7"/>
    <w:rsid w:val="00EC5809"/>
    <w:rsid w:val="00F31745"/>
    <w:rsid w:val="00F336DE"/>
    <w:rsid w:val="00F4327F"/>
    <w:rsid w:val="00F50AB1"/>
    <w:rsid w:val="00F73D21"/>
    <w:rsid w:val="00FB504D"/>
    <w:rsid w:val="02E0612A"/>
    <w:rsid w:val="090D1053"/>
    <w:rsid w:val="0987307F"/>
    <w:rsid w:val="098F08D1"/>
    <w:rsid w:val="0C79426C"/>
    <w:rsid w:val="0D2B4F84"/>
    <w:rsid w:val="0E9C7988"/>
    <w:rsid w:val="0F8B5CA9"/>
    <w:rsid w:val="11544F10"/>
    <w:rsid w:val="11AA0B06"/>
    <w:rsid w:val="126D0AE3"/>
    <w:rsid w:val="17770477"/>
    <w:rsid w:val="178F3168"/>
    <w:rsid w:val="1C9902E1"/>
    <w:rsid w:val="24072EE7"/>
    <w:rsid w:val="285E03C4"/>
    <w:rsid w:val="2E494792"/>
    <w:rsid w:val="2E9E1850"/>
    <w:rsid w:val="30361181"/>
    <w:rsid w:val="330E5F63"/>
    <w:rsid w:val="34FD0C24"/>
    <w:rsid w:val="390B3E87"/>
    <w:rsid w:val="391110CE"/>
    <w:rsid w:val="3B480E17"/>
    <w:rsid w:val="47640CEC"/>
    <w:rsid w:val="4F595D1F"/>
    <w:rsid w:val="53B63CA2"/>
    <w:rsid w:val="56007508"/>
    <w:rsid w:val="5A5C063B"/>
    <w:rsid w:val="66414EE1"/>
    <w:rsid w:val="7023338B"/>
    <w:rsid w:val="70934D31"/>
    <w:rsid w:val="71240003"/>
    <w:rsid w:val="71716B9F"/>
    <w:rsid w:val="73326FA2"/>
    <w:rsid w:val="746C0ADE"/>
    <w:rsid w:val="783F086B"/>
    <w:rsid w:val="78666EC3"/>
    <w:rsid w:val="7D29533D"/>
    <w:rsid w:val="7DC8311C"/>
    <w:rsid w:val="7E8F1A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4"/>
    <w:semiHidden/>
    <w:unhideWhenUsed/>
    <w:qFormat/>
    <w:uiPriority w:val="99"/>
    <w:pPr>
      <w:jc w:val="left"/>
    </w:pPr>
  </w:style>
  <w:style w:type="paragraph" w:styleId="3">
    <w:name w:val="Balloon Text"/>
    <w:basedOn w:val="1"/>
    <w:link w:val="13"/>
    <w:semiHidden/>
    <w:unhideWhenUsed/>
    <w:qFormat/>
    <w:uiPriority w:val="99"/>
    <w:rPr>
      <w:sz w:val="18"/>
      <w:szCs w:val="18"/>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5"/>
    <w:semiHidden/>
    <w:unhideWhenUsed/>
    <w:qFormat/>
    <w:uiPriority w:val="99"/>
    <w:rPr>
      <w:b/>
      <w:bCs/>
    </w:rPr>
  </w:style>
  <w:style w:type="table" w:styleId="8">
    <w:name w:val="Table Grid"/>
    <w:basedOn w:val="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annotation reference"/>
    <w:basedOn w:val="9"/>
    <w:semiHidden/>
    <w:unhideWhenUsed/>
    <w:qFormat/>
    <w:uiPriority w:val="99"/>
    <w:rPr>
      <w:sz w:val="21"/>
      <w:szCs w:val="21"/>
    </w:rPr>
  </w:style>
  <w:style w:type="character" w:customStyle="1" w:styleId="11">
    <w:name w:val="页眉 字符"/>
    <w:basedOn w:val="9"/>
    <w:link w:val="5"/>
    <w:qFormat/>
    <w:uiPriority w:val="99"/>
    <w:rPr>
      <w:sz w:val="18"/>
      <w:szCs w:val="18"/>
    </w:rPr>
  </w:style>
  <w:style w:type="character" w:customStyle="1" w:styleId="12">
    <w:name w:val="页脚 字符"/>
    <w:basedOn w:val="9"/>
    <w:link w:val="4"/>
    <w:qFormat/>
    <w:uiPriority w:val="99"/>
    <w:rPr>
      <w:sz w:val="18"/>
      <w:szCs w:val="18"/>
    </w:rPr>
  </w:style>
  <w:style w:type="character" w:customStyle="1" w:styleId="13">
    <w:name w:val="批注框文本 字符"/>
    <w:basedOn w:val="9"/>
    <w:link w:val="3"/>
    <w:semiHidden/>
    <w:qFormat/>
    <w:uiPriority w:val="99"/>
    <w:rPr>
      <w:sz w:val="18"/>
      <w:szCs w:val="18"/>
    </w:rPr>
  </w:style>
  <w:style w:type="character" w:customStyle="1" w:styleId="14">
    <w:name w:val="批注文字 字符"/>
    <w:basedOn w:val="9"/>
    <w:link w:val="2"/>
    <w:semiHidden/>
    <w:qFormat/>
    <w:uiPriority w:val="99"/>
  </w:style>
  <w:style w:type="character" w:customStyle="1" w:styleId="15">
    <w:name w:val="批注主题 字符"/>
    <w:basedOn w:val="14"/>
    <w:link w:val="6"/>
    <w:semiHidden/>
    <w:qFormat/>
    <w:uiPriority w:val="99"/>
    <w:rPr>
      <w:b/>
      <w:bC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284</Words>
  <Characters>310</Characters>
  <Lines>3</Lines>
  <Paragraphs>1</Paragraphs>
  <TotalTime>0</TotalTime>
  <ScaleCrop>false</ScaleCrop>
  <LinksUpToDate>false</LinksUpToDate>
  <CharactersWithSpaces>337</CharactersWithSpaces>
  <Application>WPS Office_12.1.0.26899_F1E327BC-269C-435d-A152-05C5408002CA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2025-09-28T09:52:00Z</dcterms:created>
  <dc:creator>产品管理部</dc:creator>
  <cp:lastModifiedBy>Easter Yu</cp:lastModifiedBy>
  <dcterms:modified xsi:type="dcterms:W3CDTF">2026-08-28T03:30:10Z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2052-12.1.0.26899</vt:lpwstr>
  </property>
  <property fmtid="{D5CDD505-2E9C-101B-9397-08002B2CF9AE}" pid="3" name="ICV">
    <vt:lpwstr>F9B1D66E04704F729FDF1C1481CD2810_13</vt:lpwstr>
  </property>
  <property fmtid="{D5CDD505-2E9C-101B-9397-08002B2CF9AE}" pid="4" name="KSOTemplateDocerSaveRecord">
    <vt:lpwstr>eyJoZGlkIjoiZGM3ZmNkNDM3MzViNDcxMDNlNzE4MzQ3YTJmMGM3MDIifQ==</vt:lpwstr>
  </property>
</Properties>
</file>